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093D" w:rsidR="00A46E38" w:rsidP="00A46E38" w:rsidRDefault="00A46E38" w14:paraId="0E96888E" w14:textId="77777777">
      <w:pPr>
        <w:spacing w:line="240" w:lineRule="exact"/>
        <w:jc w:val="center"/>
        <w:rPr>
          <w:sz w:val="24"/>
        </w:rPr>
      </w:pPr>
      <w:r w:rsidRPr="0045093D">
        <w:rPr>
          <w:b/>
          <w:sz w:val="24"/>
        </w:rPr>
        <w:t>CIRCULAR EXTERNA</w:t>
      </w:r>
    </w:p>
    <w:p w:rsidRPr="002E2B0A" w:rsidR="003554C5" w:rsidP="00A46E38" w:rsidRDefault="00792223" w14:paraId="0991D86D" w14:textId="7B854BEF">
      <w:pPr>
        <w:pStyle w:val="Texto0"/>
        <w:spacing w:before="0" w:after="0" w:line="240" w:lineRule="auto"/>
        <w:jc w:val="center"/>
        <w:rPr>
          <w:sz w:val="24"/>
        </w:rPr>
      </w:pPr>
      <w:r>
        <w:rPr>
          <w:sz w:val="24"/>
        </w:rPr>
        <w:t>18</w:t>
      </w:r>
      <w:r w:rsidR="00A46E38">
        <w:rPr>
          <w:sz w:val="24"/>
        </w:rPr>
        <w:t xml:space="preserve"> de Octubre de 2019</w:t>
      </w:r>
    </w:p>
    <w:sdt>
      <w:sdtPr>
        <w:rPr>
          <w:sz w:val="24"/>
        </w:rPr>
        <w:alias w:val="Consecutivo"/>
        <w:tag w:val="Consecutivo"/>
        <w:id w:val="2052717023"/>
        <w:placeholder>
          <w:docPart w:val="DD0A17B9E87A4CC4BFA9EE0A1192AEAA"/>
        </w:placeholder>
        <w:text/>
      </w:sdtPr>
      <w:sdtEndPr/>
      <w:sdtContent>
        <w:p w:rsidR="00E0013C" w:rsidP="00A46E38" w:rsidRDefault="00DE18D9" w14:paraId="3B28906F" w14:textId="77777777">
          <w:pPr>
            <w:tabs>
              <w:tab w:val="left" w:pos="2843"/>
            </w:tabs>
            <w:spacing w:line="240" w:lineRule="auto"/>
            <w:jc w:val="center"/>
            <w:rPr>
              <w:sz w:val="24"/>
            </w:rPr>
          </w:pPr>
          <w:r>
            <w:t>SGF-3229-2019</w:t>
          </w:r>
        </w:p>
      </w:sdtContent>
    </w:sdt>
    <w:p w:rsidR="00AB580B" w:rsidP="00A46E38" w:rsidRDefault="00E96D07" w14:paraId="1E39CD11" w14:textId="0DD03103">
      <w:pPr>
        <w:tabs>
          <w:tab w:val="left" w:pos="2843"/>
        </w:tabs>
        <w:spacing w:line="240" w:lineRule="auto"/>
        <w:jc w:val="center"/>
        <w:rPr>
          <w:sz w:val="24"/>
        </w:rPr>
      </w:pPr>
      <w:sdt>
        <w:sdtPr>
          <w:rPr>
            <w:sz w:val="24"/>
          </w:rPr>
          <w:alias w:val="Confidencialidad"/>
          <w:tag w:val="Confidencialidad"/>
          <w:id w:val="1447896894"/>
          <w:placeholder>
            <w:docPart w:val="B6FF948A085148D587AE1A3625CFE9C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46E38">
            <w:rPr>
              <w:sz w:val="24"/>
            </w:rPr>
            <w:t>SGF-PROPIETARIO</w:t>
          </w:r>
        </w:sdtContent>
      </w:sdt>
    </w:p>
    <w:p w:rsidRPr="002E2B0A" w:rsidR="003554C5" w:rsidP="00D26EDE" w:rsidRDefault="008F1461" w14:paraId="2A7CB761" w14:textId="77777777">
      <w:pPr>
        <w:tabs>
          <w:tab w:val="left" w:pos="2843"/>
        </w:tabs>
        <w:spacing w:line="240" w:lineRule="auto"/>
        <w:rPr>
          <w:sz w:val="24"/>
        </w:rPr>
      </w:pPr>
      <w:r w:rsidRPr="002E2B0A">
        <w:rPr>
          <w:sz w:val="24"/>
        </w:rPr>
        <w:tab/>
      </w:r>
    </w:p>
    <w:p w:rsidR="00A46E38" w:rsidP="00D26EDE" w:rsidRDefault="00A46E38" w14:paraId="3AA2FCE7" w14:textId="77777777">
      <w:pPr>
        <w:pStyle w:val="Texto0"/>
        <w:spacing w:before="0" w:after="0" w:line="240" w:lineRule="auto"/>
        <w:rPr>
          <w:sz w:val="24"/>
        </w:rPr>
      </w:pPr>
    </w:p>
    <w:p w:rsidRPr="0045093D" w:rsidR="00A46E38" w:rsidP="00A46E38" w:rsidRDefault="00A46E38" w14:paraId="02C09122" w14:textId="77777777">
      <w:pPr>
        <w:widowControl w:val="0"/>
        <w:ind w:left="34" w:right="86"/>
        <w:outlineLvl w:val="0"/>
        <w:rPr>
          <w:b/>
          <w:sz w:val="24"/>
          <w:lang w:val="es-CR"/>
        </w:rPr>
      </w:pPr>
      <w:r w:rsidRPr="0045093D">
        <w:rPr>
          <w:b/>
          <w:sz w:val="24"/>
          <w:lang w:val="es-CR"/>
        </w:rPr>
        <w:t xml:space="preserve">Dirigida a: </w:t>
      </w:r>
    </w:p>
    <w:p w:rsidRPr="0045093D" w:rsidR="00A46E38" w:rsidP="00A46E38" w:rsidRDefault="00A46E38" w14:paraId="308C820B" w14:textId="77777777">
      <w:pPr>
        <w:widowControl w:val="0"/>
        <w:ind w:left="34" w:right="86"/>
        <w:outlineLvl w:val="0"/>
        <w:rPr>
          <w:b/>
          <w:sz w:val="24"/>
          <w:lang w:val="es-CR"/>
        </w:rPr>
      </w:pPr>
    </w:p>
    <w:p w:rsidRPr="0045093D" w:rsidR="00A46E38" w:rsidP="00A46E38" w:rsidRDefault="00A46E38" w14:paraId="1965BEC9" w14:textId="77777777">
      <w:pPr>
        <w:widowControl w:val="0"/>
        <w:numPr>
          <w:ilvl w:val="0"/>
          <w:numId w:val="14"/>
        </w:numPr>
        <w:spacing w:after="200" w:line="240" w:lineRule="auto"/>
        <w:ind w:left="567" w:right="86" w:hanging="567"/>
        <w:contextualSpacing/>
        <w:rPr>
          <w:b/>
          <w:sz w:val="24"/>
          <w:lang w:val="es-CR"/>
        </w:rPr>
      </w:pPr>
      <w:r w:rsidRPr="0045093D">
        <w:rPr>
          <w:b/>
          <w:sz w:val="24"/>
          <w:lang w:val="es-CR"/>
        </w:rPr>
        <w:t>Bancos Comerciales del Estado</w:t>
      </w:r>
    </w:p>
    <w:p w:rsidRPr="0045093D" w:rsidR="00A46E38" w:rsidP="00A46E38" w:rsidRDefault="00A46E38" w14:paraId="6F54E6E1" w14:textId="77777777">
      <w:pPr>
        <w:widowControl w:val="0"/>
        <w:numPr>
          <w:ilvl w:val="0"/>
          <w:numId w:val="14"/>
        </w:numPr>
        <w:spacing w:after="200" w:line="240" w:lineRule="auto"/>
        <w:ind w:left="567" w:right="86" w:hanging="567"/>
        <w:contextualSpacing/>
        <w:rPr>
          <w:b/>
          <w:sz w:val="24"/>
          <w:lang w:val="es-CR"/>
        </w:rPr>
      </w:pPr>
      <w:r w:rsidRPr="0045093D">
        <w:rPr>
          <w:b/>
          <w:sz w:val="24"/>
          <w:lang w:val="es-CR"/>
        </w:rPr>
        <w:t>Bancos Creados por Leyes Especiales</w:t>
      </w:r>
    </w:p>
    <w:p w:rsidRPr="0045093D" w:rsidR="00A46E38" w:rsidP="00A46E38" w:rsidRDefault="00A46E38" w14:paraId="272A38FB" w14:textId="77777777">
      <w:pPr>
        <w:widowControl w:val="0"/>
        <w:numPr>
          <w:ilvl w:val="0"/>
          <w:numId w:val="14"/>
        </w:numPr>
        <w:spacing w:after="200" w:line="240" w:lineRule="auto"/>
        <w:ind w:left="567" w:right="86" w:hanging="567"/>
        <w:contextualSpacing/>
        <w:rPr>
          <w:b/>
          <w:sz w:val="24"/>
          <w:lang w:val="es-CR"/>
        </w:rPr>
      </w:pPr>
      <w:r w:rsidRPr="0045093D">
        <w:rPr>
          <w:b/>
          <w:sz w:val="24"/>
          <w:lang w:val="es-CR"/>
        </w:rPr>
        <w:t>Bancos Privados</w:t>
      </w:r>
    </w:p>
    <w:p w:rsidRPr="0045093D" w:rsidR="00A46E38" w:rsidP="00A46E38" w:rsidRDefault="00A46E38" w14:paraId="19D8B6C0" w14:textId="77777777">
      <w:pPr>
        <w:widowControl w:val="0"/>
        <w:numPr>
          <w:ilvl w:val="0"/>
          <w:numId w:val="14"/>
        </w:numPr>
        <w:spacing w:after="200" w:line="240" w:lineRule="auto"/>
        <w:ind w:left="567" w:right="86" w:hanging="567"/>
        <w:contextualSpacing/>
        <w:rPr>
          <w:b/>
          <w:sz w:val="24"/>
          <w:lang w:val="es-CR"/>
        </w:rPr>
      </w:pPr>
      <w:r w:rsidRPr="0045093D">
        <w:rPr>
          <w:b/>
          <w:sz w:val="24"/>
          <w:lang w:val="es-CR"/>
        </w:rPr>
        <w:t>Empresas Financieras no Bancarias</w:t>
      </w:r>
    </w:p>
    <w:p w:rsidRPr="0045093D" w:rsidR="00A46E38" w:rsidP="00A46E38" w:rsidRDefault="00A46E38" w14:paraId="29E794C1" w14:textId="77777777">
      <w:pPr>
        <w:widowControl w:val="0"/>
        <w:numPr>
          <w:ilvl w:val="0"/>
          <w:numId w:val="14"/>
        </w:numPr>
        <w:spacing w:after="200" w:line="240" w:lineRule="auto"/>
        <w:ind w:left="567" w:right="86" w:hanging="567"/>
        <w:contextualSpacing/>
        <w:rPr>
          <w:b/>
          <w:sz w:val="24"/>
          <w:lang w:val="es-CR"/>
        </w:rPr>
      </w:pPr>
      <w:r w:rsidRPr="0045093D">
        <w:rPr>
          <w:b/>
          <w:sz w:val="24"/>
          <w:lang w:val="es-CR"/>
        </w:rPr>
        <w:t>Organizaciones Cooperativas de Ahorro y Crédito</w:t>
      </w:r>
    </w:p>
    <w:p w:rsidRPr="0045093D" w:rsidR="00A46E38" w:rsidP="00A46E38" w:rsidRDefault="00A46E38" w14:paraId="34428203" w14:textId="77777777">
      <w:pPr>
        <w:widowControl w:val="0"/>
        <w:numPr>
          <w:ilvl w:val="0"/>
          <w:numId w:val="14"/>
        </w:numPr>
        <w:spacing w:after="200" w:line="240" w:lineRule="auto"/>
        <w:ind w:left="567" w:right="86" w:hanging="567"/>
        <w:contextualSpacing/>
        <w:rPr>
          <w:b/>
          <w:sz w:val="24"/>
          <w:lang w:val="es-CR"/>
        </w:rPr>
      </w:pPr>
      <w:r w:rsidRPr="0045093D">
        <w:rPr>
          <w:b/>
          <w:sz w:val="24"/>
          <w:lang w:val="es-CR"/>
        </w:rPr>
        <w:t>Entidades Autorizadas del Sistema Financiera Nacional para la Vivienda</w:t>
      </w:r>
    </w:p>
    <w:p w:rsidRPr="0045093D" w:rsidR="00A46E38" w:rsidP="00A46E38" w:rsidRDefault="00A46E38" w14:paraId="76827505" w14:textId="77777777">
      <w:pPr>
        <w:widowControl w:val="0"/>
        <w:numPr>
          <w:ilvl w:val="0"/>
          <w:numId w:val="14"/>
        </w:numPr>
        <w:spacing w:after="200" w:line="240" w:lineRule="auto"/>
        <w:ind w:left="567" w:right="86" w:hanging="567"/>
        <w:contextualSpacing/>
        <w:rPr>
          <w:b/>
          <w:sz w:val="24"/>
          <w:lang w:val="es-CR"/>
        </w:rPr>
      </w:pPr>
      <w:r w:rsidRPr="0045093D">
        <w:rPr>
          <w:b/>
          <w:sz w:val="24"/>
          <w:lang w:val="es-CR"/>
        </w:rPr>
        <w:t>Otras Entidades Financieras</w:t>
      </w:r>
    </w:p>
    <w:p w:rsidRPr="0045093D" w:rsidR="00A46E38" w:rsidP="00A46E38" w:rsidRDefault="00A46E38" w14:paraId="05D0290C" w14:textId="77777777">
      <w:pPr>
        <w:widowControl w:val="0"/>
        <w:ind w:left="34" w:right="86"/>
        <w:rPr>
          <w:sz w:val="24"/>
          <w:lang w:val="es-CR"/>
        </w:rPr>
      </w:pPr>
    </w:p>
    <w:p w:rsidRPr="0045093D" w:rsidR="00A46E38" w:rsidP="00A46E38" w:rsidRDefault="00A46E38" w14:paraId="1DC357F3" w14:textId="77777777">
      <w:pPr>
        <w:rPr>
          <w:b/>
          <w:sz w:val="24"/>
        </w:rPr>
      </w:pPr>
    </w:p>
    <w:p w:rsidRPr="0045093D" w:rsidR="00A46E38" w:rsidP="00A46E38" w:rsidRDefault="00A46E38" w14:paraId="6A11CDA8" w14:textId="1613B210">
      <w:pPr>
        <w:rPr>
          <w:sz w:val="24"/>
        </w:rPr>
      </w:pPr>
      <w:r w:rsidRPr="0045093D">
        <w:rPr>
          <w:b/>
          <w:sz w:val="24"/>
        </w:rPr>
        <w:t xml:space="preserve">Asunto: </w:t>
      </w:r>
      <w:r w:rsidRPr="0045093D">
        <w:rPr>
          <w:sz w:val="24"/>
        </w:rPr>
        <w:t>Sujetos Obligados pendientes de efectuar el</w:t>
      </w:r>
      <w:r w:rsidRPr="0045093D">
        <w:rPr>
          <w:b/>
          <w:sz w:val="24"/>
        </w:rPr>
        <w:t xml:space="preserve"> </w:t>
      </w:r>
      <w:r w:rsidRPr="0045093D">
        <w:rPr>
          <w:sz w:val="24"/>
        </w:rPr>
        <w:t xml:space="preserve">Proceso de Inscripción de acuerdo con lo dispuesto en el  </w:t>
      </w:r>
      <w:r w:rsidRPr="0045093D">
        <w:rPr>
          <w:b/>
          <w:sz w:val="24"/>
        </w:rPr>
        <w:t>“</w:t>
      </w:r>
      <w:r w:rsidRPr="0045093D">
        <w:rPr>
          <w:b/>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45093D">
        <w:rPr>
          <w:b/>
          <w:sz w:val="24"/>
        </w:rPr>
        <w:t>,</w:t>
      </w:r>
      <w:r w:rsidRPr="0045093D">
        <w:rPr>
          <w:sz w:val="24"/>
        </w:rPr>
        <w:t xml:space="preserve"> Acuerdo SUGEF 11-18. </w:t>
      </w:r>
    </w:p>
    <w:p w:rsidRPr="0045093D" w:rsidR="00A46E38" w:rsidP="00A46E38" w:rsidRDefault="00A46E38" w14:paraId="480B91B4" w14:textId="77777777">
      <w:pPr>
        <w:rPr>
          <w:sz w:val="24"/>
        </w:rPr>
      </w:pPr>
    </w:p>
    <w:p w:rsidRPr="0045093D" w:rsidR="00A46E38" w:rsidP="00A46E38" w:rsidRDefault="00A46E38" w14:paraId="7EE180E7" w14:textId="77777777">
      <w:pPr>
        <w:contextualSpacing/>
        <w:rPr>
          <w:sz w:val="24"/>
          <w:lang w:val="es-CR"/>
        </w:rPr>
      </w:pPr>
      <w:r w:rsidRPr="0045093D">
        <w:rPr>
          <w:sz w:val="24"/>
          <w:lang w:val="es-CR"/>
        </w:rPr>
        <w:t>El Despacho del Superintendente de la Superintendencia General de Entidades Financieras (SUGEF), con fundamento en las atribuciones que le confiere el artículo 131 de la Ley Orgánica del Banco Central de Costa Rica, los artículos 1º, 14, 15 y 15 Bis de la Ley 7786 y sus reformas, comunica:</w:t>
      </w:r>
    </w:p>
    <w:p w:rsidRPr="0045093D" w:rsidR="00A46E38" w:rsidP="00A46E38" w:rsidRDefault="00A46E38" w14:paraId="2C1B07F1" w14:textId="77777777">
      <w:pPr>
        <w:tabs>
          <w:tab w:val="left" w:pos="2843"/>
        </w:tabs>
        <w:contextualSpacing/>
        <w:rPr>
          <w:sz w:val="24"/>
        </w:rPr>
      </w:pPr>
    </w:p>
    <w:p w:rsidR="000445D9" w:rsidP="00A46E38" w:rsidRDefault="000445D9" w14:paraId="3F7598F1" w14:textId="77777777">
      <w:pPr>
        <w:tabs>
          <w:tab w:val="left" w:pos="2843"/>
        </w:tabs>
        <w:contextualSpacing/>
        <w:rPr>
          <w:b/>
          <w:sz w:val="24"/>
        </w:rPr>
      </w:pPr>
    </w:p>
    <w:p w:rsidRPr="0045093D" w:rsidR="00A46E38" w:rsidP="00A46E38" w:rsidRDefault="00A46E38" w14:paraId="0F158674" w14:textId="77777777">
      <w:pPr>
        <w:tabs>
          <w:tab w:val="left" w:pos="2843"/>
        </w:tabs>
        <w:contextualSpacing/>
        <w:rPr>
          <w:b/>
          <w:sz w:val="24"/>
        </w:rPr>
      </w:pPr>
      <w:r w:rsidRPr="0045093D">
        <w:rPr>
          <w:b/>
          <w:sz w:val="24"/>
        </w:rPr>
        <w:t>Considerando:</w:t>
      </w:r>
    </w:p>
    <w:p w:rsidRPr="0045093D" w:rsidR="00A46E38" w:rsidP="00A46E38" w:rsidRDefault="00A46E38" w14:paraId="47D3B814" w14:textId="77777777">
      <w:pPr>
        <w:tabs>
          <w:tab w:val="left" w:pos="6990"/>
        </w:tabs>
        <w:contextualSpacing/>
        <w:rPr>
          <w:sz w:val="24"/>
        </w:rPr>
      </w:pPr>
      <w:r w:rsidRPr="0045093D">
        <w:rPr>
          <w:sz w:val="24"/>
        </w:rPr>
        <w:tab/>
      </w:r>
    </w:p>
    <w:p w:rsidRPr="0045093D" w:rsidR="00A46E38" w:rsidP="00A46E38" w:rsidRDefault="00A46E38" w14:paraId="2049A9FD" w14:textId="77777777">
      <w:pPr>
        <w:numPr>
          <w:ilvl w:val="0"/>
          <w:numId w:val="13"/>
        </w:numPr>
        <w:spacing w:line="240" w:lineRule="auto"/>
        <w:contextualSpacing/>
        <w:rPr>
          <w:sz w:val="24"/>
        </w:rPr>
      </w:pPr>
      <w:r w:rsidRPr="0045093D">
        <w:rPr>
          <w:sz w:val="24"/>
        </w:rPr>
        <w:t xml:space="preserve">Que mediante la Ley N° 9449 del 10 de mayo del 2017, la Asamblea Legislativa decretó la </w:t>
      </w:r>
      <w:r w:rsidRPr="0045093D">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45093D">
        <w:rPr>
          <w:sz w:val="24"/>
        </w:rPr>
        <w:t>.</w:t>
      </w:r>
    </w:p>
    <w:p w:rsidRPr="0045093D" w:rsidR="00A46E38" w:rsidP="00A46E38" w:rsidRDefault="00A46E38" w14:paraId="450B16C4" w14:textId="77777777">
      <w:pPr>
        <w:ind w:left="360"/>
        <w:contextualSpacing/>
        <w:rPr>
          <w:sz w:val="24"/>
        </w:rPr>
      </w:pPr>
    </w:p>
    <w:p w:rsidRPr="0045093D" w:rsidR="00A46E38" w:rsidP="00A46E38" w:rsidRDefault="00A46E38" w14:paraId="55753E76" w14:textId="77777777">
      <w:pPr>
        <w:pStyle w:val="Prrafodelista"/>
        <w:numPr>
          <w:ilvl w:val="0"/>
          <w:numId w:val="13"/>
        </w:numPr>
        <w:contextualSpacing/>
        <w:jc w:val="both"/>
        <w:outlineLvl w:val="0"/>
        <w:rPr>
          <w:rFonts w:ascii="Cambria" w:hAnsi="Cambria"/>
          <w:b/>
        </w:rPr>
      </w:pPr>
      <w:r w:rsidRPr="0045093D">
        <w:rPr>
          <w:rFonts w:ascii="Cambria" w:hAnsi="Cambria"/>
        </w:rPr>
        <w:t xml:space="preserve">Que la </w:t>
      </w:r>
      <w:r w:rsidRPr="0045093D">
        <w:rPr>
          <w:rFonts w:ascii="Cambria" w:hAnsi="Cambria"/>
          <w:i/>
        </w:rPr>
        <w:t>“Reglamentación de los artículos 15 y 15 bis de la Ley 7786”</w:t>
      </w:r>
      <w:r w:rsidRPr="0045093D">
        <w:rPr>
          <w:rFonts w:ascii="Cambria" w:hAnsi="Cambria"/>
        </w:rPr>
        <w:t xml:space="preserve">, dispone en su artículo 3º, que los sujetos obligados establecidos en el artículo 14 de la Ley N° 7786, no podrán iniciar o mantener relaciones comerciales de ninguna </w:t>
      </w:r>
      <w:r w:rsidRPr="0045093D">
        <w:rPr>
          <w:rFonts w:ascii="Cambria" w:hAnsi="Cambria"/>
        </w:rPr>
        <w:lastRenderedPageBreak/>
        <w:t>naturaleza con todos aquellos sujetos obligados establecidos en los artículos 15 y 15 bis de la citada Ley, que no se encuentren debidamente inscritos ante la Superintendencia General de Entidades Financieras, o que su inscripción se encuentre en estado de suspensión.</w:t>
      </w:r>
      <w:r w:rsidRPr="0045093D">
        <w:rPr>
          <w:rFonts w:ascii="Cambria" w:hAnsi="Cambria"/>
          <w:b/>
        </w:rPr>
        <w:t xml:space="preserve"> </w:t>
      </w:r>
    </w:p>
    <w:p w:rsidRPr="0045093D" w:rsidR="00A46E38" w:rsidP="00A46E38" w:rsidRDefault="00A46E38" w14:paraId="0DEA05DE" w14:textId="77777777">
      <w:pPr>
        <w:tabs>
          <w:tab w:val="left" w:pos="2843"/>
        </w:tabs>
        <w:rPr>
          <w:b/>
          <w:sz w:val="24"/>
        </w:rPr>
      </w:pPr>
    </w:p>
    <w:p w:rsidRPr="0045093D" w:rsidR="00A46E38" w:rsidP="00A46E38" w:rsidRDefault="00A46E38" w14:paraId="65EFD6AF" w14:textId="77777777">
      <w:pPr>
        <w:pStyle w:val="Prrafodelista"/>
        <w:numPr>
          <w:ilvl w:val="0"/>
          <w:numId w:val="13"/>
        </w:numPr>
        <w:jc w:val="both"/>
        <w:rPr>
          <w:rFonts w:ascii="Cambria" w:hAnsi="Cambria"/>
          <w:b/>
        </w:rPr>
      </w:pPr>
      <w:r w:rsidRPr="0045093D">
        <w:rPr>
          <w:rFonts w:ascii="Cambria" w:hAnsi="Cambria"/>
        </w:rPr>
        <w:t xml:space="preserve">El Consejo Nacional de Supervisión del Sistema Financiero, mediante el artículo 9  del acta de la sesión 1450-2018, celebrada el 8 de octubre de 2018, aprobó el </w:t>
      </w:r>
      <w:r w:rsidRPr="0045093D">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45093D">
        <w:rPr>
          <w:rFonts w:ascii="Cambria" w:hAnsi="Cambria"/>
        </w:rPr>
        <w:t xml:space="preserve">, Acuerdo SUGEF 11-18. </w:t>
      </w:r>
    </w:p>
    <w:p w:rsidRPr="0045093D" w:rsidR="00A46E38" w:rsidP="00A46E38" w:rsidRDefault="00A46E38" w14:paraId="3D0BEAE4" w14:textId="77777777">
      <w:pPr>
        <w:pStyle w:val="Prrafodelista"/>
        <w:rPr>
          <w:rFonts w:ascii="Cambria" w:hAnsi="Cambria"/>
          <w:b/>
        </w:rPr>
      </w:pPr>
    </w:p>
    <w:p w:rsidRPr="0045093D" w:rsidR="00A46E38" w:rsidP="00A46E38" w:rsidRDefault="00A46E38" w14:paraId="0D3EF536" w14:textId="45188AB7">
      <w:pPr>
        <w:pStyle w:val="Prrafodelista"/>
        <w:numPr>
          <w:ilvl w:val="0"/>
          <w:numId w:val="13"/>
        </w:numPr>
        <w:jc w:val="both"/>
        <w:rPr>
          <w:rFonts w:ascii="Cambria" w:hAnsi="Cambria"/>
          <w:b/>
        </w:rPr>
      </w:pPr>
      <w:r w:rsidRPr="0045093D">
        <w:rPr>
          <w:rFonts w:ascii="Cambria" w:hAnsi="Cambria"/>
        </w:rPr>
        <w:t xml:space="preserve">El </w:t>
      </w:r>
      <w:r w:rsidR="000445D9">
        <w:rPr>
          <w:rFonts w:ascii="Cambria" w:hAnsi="Cambria"/>
        </w:rPr>
        <w:t xml:space="preserve">Reglamento de Inscripción, </w:t>
      </w:r>
      <w:r w:rsidRPr="0045093D">
        <w:rPr>
          <w:rFonts w:ascii="Cambria" w:hAnsi="Cambria"/>
        </w:rPr>
        <w:t xml:space="preserve">Acuerdo SUGEF 11-18 establece en el artículo 20 que las entidades financieras supervisadas por alguna Superintendencia adscrita al CONASSIF, previo a iniciar relaciones comerciales con los sujetos obligados inscritos ante la SUGEF, según las disposiciones establecidas en los artículos 15 y 15 bis de la Ley 7786, </w:t>
      </w:r>
      <w:r w:rsidRPr="0045093D">
        <w:rPr>
          <w:rFonts w:ascii="Cambria" w:hAnsi="Cambria"/>
          <w:u w:val="single"/>
        </w:rPr>
        <w:t>deberán verificar que éstos sujetos se encuentran inscritos</w:t>
      </w:r>
      <w:r w:rsidRPr="0045093D">
        <w:rPr>
          <w:rFonts w:ascii="Cambria" w:hAnsi="Cambria"/>
        </w:rPr>
        <w:t>.</w:t>
      </w:r>
    </w:p>
    <w:p w:rsidRPr="0045093D" w:rsidR="00A46E38" w:rsidP="00A46E38" w:rsidRDefault="00A46E38" w14:paraId="4351DDED" w14:textId="77777777">
      <w:pPr>
        <w:pStyle w:val="Prrafodelista"/>
        <w:ind w:left="360"/>
        <w:jc w:val="both"/>
        <w:rPr>
          <w:rFonts w:ascii="Cambria" w:hAnsi="Cambria"/>
          <w:b/>
        </w:rPr>
      </w:pPr>
    </w:p>
    <w:p w:rsidRPr="0045093D" w:rsidR="00A46E38" w:rsidP="00A46E38" w:rsidRDefault="000445D9" w14:paraId="36BBA79D" w14:textId="37C83993">
      <w:pPr>
        <w:pStyle w:val="Prrafodelista"/>
        <w:numPr>
          <w:ilvl w:val="0"/>
          <w:numId w:val="13"/>
        </w:numPr>
        <w:contextualSpacing/>
        <w:jc w:val="both"/>
        <w:outlineLvl w:val="0"/>
        <w:rPr>
          <w:rFonts w:ascii="Cambria" w:hAnsi="Cambria"/>
        </w:rPr>
      </w:pPr>
      <w:r w:rsidRPr="0045093D">
        <w:rPr>
          <w:rFonts w:ascii="Cambria" w:hAnsi="Cambria"/>
        </w:rPr>
        <w:t xml:space="preserve">El </w:t>
      </w:r>
      <w:r>
        <w:rPr>
          <w:rFonts w:ascii="Cambria" w:hAnsi="Cambria"/>
        </w:rPr>
        <w:t>Reglamento de Inscripción,</w:t>
      </w:r>
      <w:r w:rsidRPr="0045093D" w:rsidR="00A46E38">
        <w:rPr>
          <w:rFonts w:ascii="Cambria" w:hAnsi="Cambria"/>
        </w:rPr>
        <w:t xml:space="preserve"> Acuerdo SUGEF 11-18 establece en el artículo 23 que </w:t>
      </w:r>
      <w:r w:rsidRPr="0045093D" w:rsidR="00A46E38">
        <w:rPr>
          <w:rFonts w:ascii="Cambria" w:hAnsi="Cambria"/>
          <w:u w:val="single"/>
        </w:rPr>
        <w:t>las entidades financieras no podrán prestar el servicio a los clientes que realicen actividades descritas en los artículos 15 y 15 bis de la Ley 7786, mientras estos no se encuentren inscritos</w:t>
      </w:r>
      <w:r>
        <w:rPr>
          <w:rFonts w:ascii="Cambria" w:hAnsi="Cambria"/>
        </w:rPr>
        <w:t>;</w:t>
      </w:r>
      <w:r w:rsidRPr="0045093D" w:rsidR="00A46E38">
        <w:rPr>
          <w:rFonts w:ascii="Cambria" w:hAnsi="Cambria"/>
        </w:rPr>
        <w:t xml:space="preserve"> asimismo dispone el deber de implementar políticas, procedimientos y controles, con base en riesgo de LC/FT/FPADM para atender las obligaciones mencionadas.</w:t>
      </w:r>
    </w:p>
    <w:p w:rsidRPr="0045093D" w:rsidR="00A46E38" w:rsidP="00A46E38" w:rsidRDefault="00A46E38" w14:paraId="5819F5B2" w14:textId="77777777">
      <w:pPr>
        <w:pStyle w:val="Prrafodelista"/>
        <w:ind w:left="360"/>
        <w:contextualSpacing/>
        <w:jc w:val="both"/>
        <w:outlineLvl w:val="0"/>
        <w:rPr>
          <w:rFonts w:ascii="Cambria" w:hAnsi="Cambria"/>
        </w:rPr>
      </w:pPr>
    </w:p>
    <w:p w:rsidRPr="0045093D" w:rsidR="00A46E38" w:rsidP="00A46E38" w:rsidRDefault="008A7813" w14:paraId="76F38853" w14:textId="64B0429D">
      <w:pPr>
        <w:pStyle w:val="Prrafodelista"/>
        <w:numPr>
          <w:ilvl w:val="0"/>
          <w:numId w:val="13"/>
        </w:numPr>
        <w:contextualSpacing/>
        <w:jc w:val="both"/>
        <w:outlineLvl w:val="0"/>
        <w:rPr>
          <w:rFonts w:ascii="Cambria" w:hAnsi="Cambria"/>
        </w:rPr>
      </w:pPr>
      <w:r w:rsidRPr="0045093D">
        <w:rPr>
          <w:rFonts w:ascii="Cambria" w:hAnsi="Cambria"/>
        </w:rPr>
        <w:t xml:space="preserve">El </w:t>
      </w:r>
      <w:r>
        <w:rPr>
          <w:rFonts w:ascii="Cambria" w:hAnsi="Cambria"/>
        </w:rPr>
        <w:t>Reglamento de Inscripción,</w:t>
      </w:r>
      <w:r w:rsidRPr="0045093D" w:rsidR="00A46E38">
        <w:rPr>
          <w:rFonts w:ascii="Cambria" w:hAnsi="Cambria"/>
        </w:rPr>
        <w:t xml:space="preserve">  Acuerdo SUGEF 11-18 establece en el artículo 21 que los sujetos obligados deben mantener a su nombre, cuentas, productos o servicios, con entidades financieras supervisadas por alguna Superintendencia adscrita al CONASSIF, y</w:t>
      </w:r>
      <w:r w:rsidRPr="0045093D" w:rsidR="00A46E38">
        <w:rPr>
          <w:rFonts w:ascii="Cambria" w:hAnsi="Cambria"/>
          <w:u w:val="single"/>
        </w:rPr>
        <w:t xml:space="preserve"> </w:t>
      </w:r>
      <w:r w:rsidRPr="0045093D" w:rsidR="00A46E38">
        <w:rPr>
          <w:rFonts w:ascii="Cambria" w:hAnsi="Cambria"/>
        </w:rPr>
        <w:t>utilizarlas de manera exclusiva para la(s) actividad(s) sujeta(s) a inscripción.</w:t>
      </w:r>
    </w:p>
    <w:p w:rsidRPr="0045093D" w:rsidR="00A46E38" w:rsidP="00A46E38" w:rsidRDefault="00A46E38" w14:paraId="77C1D01C" w14:textId="77777777">
      <w:pPr>
        <w:pStyle w:val="Prrafodelista"/>
        <w:rPr>
          <w:rFonts w:ascii="Cambria" w:hAnsi="Cambria"/>
        </w:rPr>
      </w:pPr>
    </w:p>
    <w:p w:rsidRPr="0045093D" w:rsidR="00A46E38" w:rsidP="00A46E38" w:rsidRDefault="00A46E38" w14:paraId="6159BB08" w14:textId="77777777">
      <w:pPr>
        <w:pStyle w:val="Prrafodelista"/>
        <w:numPr>
          <w:ilvl w:val="0"/>
          <w:numId w:val="13"/>
        </w:numPr>
        <w:contextualSpacing/>
        <w:jc w:val="both"/>
        <w:outlineLvl w:val="0"/>
        <w:rPr>
          <w:rFonts w:ascii="Cambria" w:hAnsi="Cambria"/>
        </w:rPr>
      </w:pPr>
      <w:r w:rsidRPr="0045093D">
        <w:rPr>
          <w:rFonts w:ascii="Cambria" w:hAnsi="Cambria"/>
        </w:rPr>
        <w:t>El Transitorio segundo del Acuerdo SUGEF 11-18 establece que los sujetos obligados a los que se refieren los artículos 15 y 15 bis de la Ley 7786, que a la entrada en vigencia de este Reglamento mantienen relaciones comerciales con las entidades financieras y que no se encuentran inscritos ante la SUGEF, deberán tramitar su inscripción en un plazo máximo de seis meses a partir de la entrada en vigencia de este Reglamento el 1º de enero de 2019.</w:t>
      </w:r>
    </w:p>
    <w:p w:rsidRPr="0045093D" w:rsidR="00A46E38" w:rsidP="00A46E38" w:rsidRDefault="00A46E38" w14:paraId="4A68FB4C" w14:textId="77777777">
      <w:pPr>
        <w:tabs>
          <w:tab w:val="left" w:pos="142"/>
        </w:tabs>
        <w:rPr>
          <w:sz w:val="24"/>
        </w:rPr>
      </w:pPr>
    </w:p>
    <w:p w:rsidRPr="0045093D" w:rsidR="00A46E38" w:rsidP="00A46E38" w:rsidRDefault="00A46E38" w14:paraId="387D60D6" w14:textId="77777777">
      <w:pPr>
        <w:pStyle w:val="Prrafodelista"/>
        <w:ind w:left="360"/>
        <w:contextualSpacing/>
        <w:jc w:val="both"/>
        <w:outlineLvl w:val="0"/>
        <w:rPr>
          <w:rFonts w:ascii="Cambria" w:hAnsi="Cambria"/>
        </w:rPr>
      </w:pPr>
      <w:r w:rsidRPr="0045093D">
        <w:rPr>
          <w:rFonts w:ascii="Cambria" w:hAnsi="Cambria"/>
        </w:rPr>
        <w:t xml:space="preserve">Al respecto indica que </w:t>
      </w:r>
      <w:r w:rsidRPr="0045093D">
        <w:rPr>
          <w:rFonts w:ascii="Cambria" w:hAnsi="Cambria"/>
          <w:u w:val="single"/>
        </w:rPr>
        <w:t>las entidades financieras deberán velar porque los sujetos obligados cumplan con la obligación antes mencionada en el plazo establecido</w:t>
      </w:r>
      <w:r w:rsidRPr="0045093D">
        <w:rPr>
          <w:rFonts w:ascii="Cambria" w:hAnsi="Cambria"/>
        </w:rPr>
        <w:t>.</w:t>
      </w:r>
    </w:p>
    <w:p w:rsidRPr="0045093D" w:rsidR="00A46E38" w:rsidP="00A46E38" w:rsidRDefault="00A46E38" w14:paraId="3CF8BD7F" w14:textId="77777777">
      <w:pPr>
        <w:pStyle w:val="Prrafodelista"/>
        <w:ind w:left="360"/>
        <w:contextualSpacing/>
        <w:jc w:val="both"/>
        <w:outlineLvl w:val="0"/>
        <w:rPr>
          <w:rFonts w:ascii="Cambria" w:hAnsi="Cambria"/>
        </w:rPr>
      </w:pPr>
    </w:p>
    <w:p w:rsidRPr="0045093D" w:rsidR="00A46E38" w:rsidP="00A46E38" w:rsidRDefault="00A46E38" w14:paraId="2D8A7D1E" w14:textId="068DF4A0">
      <w:pPr>
        <w:pStyle w:val="Prrafodelista"/>
        <w:numPr>
          <w:ilvl w:val="0"/>
          <w:numId w:val="13"/>
        </w:numPr>
        <w:contextualSpacing/>
        <w:jc w:val="both"/>
        <w:outlineLvl w:val="0"/>
        <w:rPr>
          <w:rFonts w:ascii="Cambria" w:hAnsi="Cambria"/>
        </w:rPr>
      </w:pPr>
      <w:r w:rsidRPr="0045093D">
        <w:rPr>
          <w:rFonts w:ascii="Cambria" w:hAnsi="Cambria"/>
        </w:rPr>
        <w:t xml:space="preserve">Mediante Circular Externa 1449-2019 del 16 de mayo del 2019, se </w:t>
      </w:r>
      <w:r w:rsidR="004E322E">
        <w:rPr>
          <w:rFonts w:ascii="Cambria" w:hAnsi="Cambria"/>
        </w:rPr>
        <w:t xml:space="preserve">solicitó </w:t>
      </w:r>
      <w:r w:rsidRPr="0045093D">
        <w:rPr>
          <w:rFonts w:ascii="Cambria" w:hAnsi="Cambria"/>
        </w:rPr>
        <w:t xml:space="preserve">a </w:t>
      </w:r>
      <w:r w:rsidR="004E322E">
        <w:rPr>
          <w:rFonts w:ascii="Cambria" w:hAnsi="Cambria"/>
        </w:rPr>
        <w:t>las entidades financieras</w:t>
      </w:r>
      <w:r w:rsidRPr="0045093D">
        <w:rPr>
          <w:rFonts w:ascii="Cambria" w:hAnsi="Cambria"/>
        </w:rPr>
        <w:t xml:space="preserve"> que notificaran a la SUGEF: </w:t>
      </w:r>
    </w:p>
    <w:p w:rsidRPr="0045093D" w:rsidR="00A46E38" w:rsidP="00A46E38" w:rsidRDefault="00A46E38" w14:paraId="34EEA26B" w14:textId="77777777">
      <w:pPr>
        <w:pStyle w:val="Prrafodelista"/>
        <w:ind w:left="360"/>
        <w:contextualSpacing/>
        <w:jc w:val="both"/>
        <w:outlineLvl w:val="0"/>
        <w:rPr>
          <w:rFonts w:ascii="Cambria" w:hAnsi="Cambria"/>
        </w:rPr>
      </w:pPr>
    </w:p>
    <w:p w:rsidRPr="0045093D" w:rsidR="00A46E38" w:rsidP="00A46E38" w:rsidRDefault="00A46E38" w14:paraId="41D9B764" w14:textId="50552AFC">
      <w:pPr>
        <w:pStyle w:val="Prrafodelista"/>
        <w:numPr>
          <w:ilvl w:val="0"/>
          <w:numId w:val="15"/>
        </w:numPr>
        <w:ind w:left="720"/>
        <w:contextualSpacing/>
        <w:jc w:val="both"/>
        <w:outlineLvl w:val="0"/>
        <w:rPr>
          <w:rFonts w:ascii="Cambria" w:hAnsi="Cambria"/>
        </w:rPr>
      </w:pPr>
      <w:r w:rsidRPr="0045093D">
        <w:rPr>
          <w:rFonts w:ascii="Cambria" w:hAnsi="Cambria"/>
        </w:rPr>
        <w:t xml:space="preserve">Sobre las acciones emprendidas por la entidad financiera para identificar y velar porque los sujetos obligados por los artículos 15 y 15 bis de la Ley 7786, que sean clientes, cumplan con la inscripción ante la SUGEF </w:t>
      </w:r>
      <w:r w:rsidR="00D8636D">
        <w:rPr>
          <w:rFonts w:ascii="Cambria" w:hAnsi="Cambria"/>
        </w:rPr>
        <w:t xml:space="preserve">y </w:t>
      </w:r>
      <w:r w:rsidRPr="0045093D">
        <w:rPr>
          <w:rFonts w:ascii="Cambria" w:hAnsi="Cambria"/>
        </w:rPr>
        <w:t xml:space="preserve">cuyo plazo </w:t>
      </w:r>
      <w:r w:rsidRPr="00D8636D">
        <w:rPr>
          <w:rFonts w:ascii="Cambria" w:hAnsi="Cambria"/>
          <w:b/>
          <w:u w:val="single"/>
        </w:rPr>
        <w:t>venció el 30 de junio del 2019</w:t>
      </w:r>
      <w:r w:rsidRPr="0045093D">
        <w:rPr>
          <w:rFonts w:ascii="Cambria" w:hAnsi="Cambria"/>
        </w:rPr>
        <w:t>.</w:t>
      </w:r>
    </w:p>
    <w:p w:rsidR="00A46E38" w:rsidP="00A46E38" w:rsidRDefault="00A46E38" w14:paraId="585D4CF8" w14:textId="77777777">
      <w:pPr>
        <w:pStyle w:val="Prrafodelista"/>
        <w:numPr>
          <w:ilvl w:val="0"/>
          <w:numId w:val="15"/>
        </w:numPr>
        <w:ind w:left="720"/>
        <w:contextualSpacing/>
        <w:jc w:val="both"/>
        <w:outlineLvl w:val="0"/>
        <w:rPr>
          <w:rFonts w:ascii="Cambria" w:hAnsi="Cambria"/>
        </w:rPr>
      </w:pPr>
      <w:r w:rsidRPr="0045093D">
        <w:rPr>
          <w:rFonts w:ascii="Cambria" w:hAnsi="Cambria"/>
        </w:rPr>
        <w:t>Las entidades debían tomar las acciones correspondientes para la atención de las responsabilidades y obligaciones dispuestas en el acuerdo SUGEF 11-18, respecto a la identificación con base en el conocimiento del cliente, de los sujetos obligados por los artículos 15 y 15 bis de la Ley 7786 que sean clientes o que vayan a iniciar relaciones comerciales con la entidad financiera, así como velar porque los sujetos obligados cumplan con la inscripción ante la SUGEF.</w:t>
      </w:r>
    </w:p>
    <w:p w:rsidRPr="0045093D" w:rsidR="00A46E38" w:rsidP="00A46E38" w:rsidRDefault="00A46E38" w14:paraId="0E5EB78A" w14:textId="4DC61588">
      <w:pPr>
        <w:pStyle w:val="Prrafodelista"/>
        <w:numPr>
          <w:ilvl w:val="0"/>
          <w:numId w:val="15"/>
        </w:numPr>
        <w:ind w:left="720"/>
        <w:contextualSpacing/>
        <w:jc w:val="both"/>
        <w:outlineLvl w:val="0"/>
        <w:rPr>
          <w:rFonts w:ascii="Cambria" w:hAnsi="Cambria"/>
        </w:rPr>
      </w:pPr>
      <w:r w:rsidRPr="0045093D">
        <w:rPr>
          <w:rFonts w:ascii="Cambria" w:hAnsi="Cambria"/>
        </w:rPr>
        <w:t xml:space="preserve">En un plazo de ocho días hábiles debían remitir un archivo de información cuyo formato fue dispuesto por la Superintendencia, </w:t>
      </w:r>
      <w:r w:rsidR="00D8636D">
        <w:rPr>
          <w:rFonts w:ascii="Cambria" w:hAnsi="Cambria"/>
        </w:rPr>
        <w:t xml:space="preserve">con el detalle de </w:t>
      </w:r>
      <w:r w:rsidRPr="0045093D">
        <w:rPr>
          <w:rFonts w:ascii="Cambria" w:hAnsi="Cambria"/>
        </w:rPr>
        <w:t>los clientes de la entidad financiera sujeto</w:t>
      </w:r>
      <w:r w:rsidR="00D8636D">
        <w:rPr>
          <w:rFonts w:ascii="Cambria" w:hAnsi="Cambria"/>
        </w:rPr>
        <w:t>s</w:t>
      </w:r>
      <w:r w:rsidRPr="0045093D">
        <w:rPr>
          <w:rFonts w:ascii="Cambria" w:hAnsi="Cambria"/>
        </w:rPr>
        <w:t xml:space="preserve"> de inscripción.</w:t>
      </w:r>
    </w:p>
    <w:p w:rsidRPr="0045093D" w:rsidR="00A46E38" w:rsidP="00A46E38" w:rsidRDefault="00A46E38" w14:paraId="62B3DCC2" w14:textId="77777777">
      <w:pPr>
        <w:pStyle w:val="Prrafodelista"/>
        <w:numPr>
          <w:ilvl w:val="0"/>
          <w:numId w:val="15"/>
        </w:numPr>
        <w:ind w:left="720"/>
        <w:contextualSpacing/>
        <w:jc w:val="both"/>
        <w:outlineLvl w:val="0"/>
        <w:rPr>
          <w:rFonts w:ascii="Cambria" w:hAnsi="Cambria"/>
        </w:rPr>
      </w:pPr>
      <w:r w:rsidRPr="0045093D">
        <w:rPr>
          <w:rFonts w:ascii="Cambria" w:hAnsi="Cambria"/>
        </w:rPr>
        <w:t>Los sujetos obligados debían intensificar esfuerzos de velar por la inscripción ante esta Superintendencia de los clientes que sean sujetos obligados por los artículos 15 y 15 bis de la Ley 7786.</w:t>
      </w:r>
    </w:p>
    <w:p w:rsidRPr="0045093D" w:rsidR="00A46E38" w:rsidP="00A46E38" w:rsidRDefault="00A46E38" w14:paraId="2928DE16" w14:textId="77777777">
      <w:pPr>
        <w:pStyle w:val="Prrafodelista"/>
        <w:ind w:left="720"/>
        <w:contextualSpacing/>
        <w:jc w:val="both"/>
        <w:outlineLvl w:val="0"/>
        <w:rPr>
          <w:rFonts w:ascii="Cambria" w:hAnsi="Cambria"/>
        </w:rPr>
      </w:pPr>
    </w:p>
    <w:p w:rsidRPr="00D8636D" w:rsidR="00D8636D" w:rsidP="00223E6A" w:rsidRDefault="00D8636D" w14:paraId="1AF1ECDE" w14:textId="413CDD8A">
      <w:pPr>
        <w:pStyle w:val="Prrafodelista"/>
        <w:numPr>
          <w:ilvl w:val="0"/>
          <w:numId w:val="13"/>
        </w:numPr>
        <w:contextualSpacing/>
        <w:jc w:val="both"/>
        <w:outlineLvl w:val="0"/>
        <w:rPr>
          <w:rFonts w:ascii="Cambria" w:hAnsi="Cambria"/>
        </w:rPr>
      </w:pPr>
      <w:r w:rsidRPr="00D8636D">
        <w:rPr>
          <w:rFonts w:ascii="Cambria" w:hAnsi="Cambria"/>
        </w:rPr>
        <w:t xml:space="preserve">Que al </w:t>
      </w:r>
      <w:r w:rsidR="00B55BA1">
        <w:rPr>
          <w:rFonts w:ascii="Cambria" w:hAnsi="Cambria"/>
        </w:rPr>
        <w:t>18 de octu</w:t>
      </w:r>
      <w:r w:rsidRPr="00D8636D">
        <w:rPr>
          <w:rFonts w:ascii="Cambria" w:hAnsi="Cambria"/>
        </w:rPr>
        <w:t xml:space="preserve">bre de 2019, </w:t>
      </w:r>
      <w:r w:rsidRPr="00D8636D">
        <w:rPr>
          <w:rFonts w:asciiTheme="majorHAnsi" w:hAnsiTheme="majorHAnsi"/>
        </w:rPr>
        <w:t xml:space="preserve">se han inscrito </w:t>
      </w:r>
      <w:r w:rsidR="00B55BA1">
        <w:rPr>
          <w:rFonts w:asciiTheme="majorHAnsi" w:hAnsiTheme="majorHAnsi"/>
        </w:rPr>
        <w:t>3</w:t>
      </w:r>
      <w:r w:rsidR="004E322E">
        <w:rPr>
          <w:rFonts w:asciiTheme="majorHAnsi" w:hAnsiTheme="majorHAnsi"/>
        </w:rPr>
        <w:t xml:space="preserve"> </w:t>
      </w:r>
      <w:r w:rsidR="00B55BA1">
        <w:rPr>
          <w:rFonts w:asciiTheme="majorHAnsi" w:hAnsiTheme="majorHAnsi"/>
        </w:rPr>
        <w:t>295</w:t>
      </w:r>
      <w:r w:rsidRPr="00D8636D">
        <w:rPr>
          <w:rFonts w:asciiTheme="majorHAnsi" w:hAnsiTheme="majorHAnsi"/>
        </w:rPr>
        <w:t xml:space="preserve"> sujetos obligados, cantidad </w:t>
      </w:r>
      <w:r>
        <w:rPr>
          <w:rFonts w:asciiTheme="majorHAnsi" w:hAnsiTheme="majorHAnsi"/>
        </w:rPr>
        <w:t xml:space="preserve">que resulta </w:t>
      </w:r>
      <w:r w:rsidRPr="00D8636D">
        <w:rPr>
          <w:rFonts w:asciiTheme="majorHAnsi" w:hAnsiTheme="majorHAnsi"/>
        </w:rPr>
        <w:t xml:space="preserve">inferior </w:t>
      </w:r>
      <w:r w:rsidR="004E322E">
        <w:rPr>
          <w:rFonts w:asciiTheme="majorHAnsi" w:hAnsiTheme="majorHAnsi"/>
        </w:rPr>
        <w:t>en forma importante respecto al total informado</w:t>
      </w:r>
      <w:r w:rsidRPr="00D8636D">
        <w:rPr>
          <w:rFonts w:asciiTheme="majorHAnsi" w:hAnsiTheme="majorHAnsi"/>
        </w:rPr>
        <w:t xml:space="preserve"> por las entidades financieras </w:t>
      </w:r>
      <w:r w:rsidR="004E322E">
        <w:rPr>
          <w:rFonts w:asciiTheme="majorHAnsi" w:hAnsiTheme="majorHAnsi"/>
        </w:rPr>
        <w:t>como respuesta a la circular mencionada en el punto anterior</w:t>
      </w:r>
      <w:r>
        <w:rPr>
          <w:rFonts w:asciiTheme="majorHAnsi" w:hAnsiTheme="majorHAnsi"/>
        </w:rPr>
        <w:t>.</w:t>
      </w:r>
    </w:p>
    <w:p w:rsidR="00D8636D" w:rsidP="00B55BA1" w:rsidRDefault="00D8636D" w14:paraId="4E18B699" w14:textId="4F32F0E3">
      <w:pPr>
        <w:contextualSpacing/>
        <w:outlineLvl w:val="0"/>
      </w:pPr>
    </w:p>
    <w:p w:rsidRPr="00B55BA1" w:rsidR="00B55BA1" w:rsidP="00B55BA1" w:rsidRDefault="00B55BA1" w14:paraId="73F6694F" w14:textId="77777777">
      <w:pPr>
        <w:contextualSpacing/>
        <w:outlineLvl w:val="0"/>
      </w:pPr>
    </w:p>
    <w:p w:rsidRPr="00A46E38" w:rsidR="00A46E38" w:rsidP="00A46E38" w:rsidRDefault="00A46E38" w14:paraId="73370B0D" w14:textId="77777777">
      <w:pPr>
        <w:contextualSpacing/>
        <w:outlineLvl w:val="0"/>
        <w:rPr>
          <w:b/>
          <w:sz w:val="24"/>
        </w:rPr>
      </w:pPr>
      <w:r w:rsidRPr="00A46E38">
        <w:rPr>
          <w:b/>
          <w:sz w:val="24"/>
        </w:rPr>
        <w:t>Dispone:</w:t>
      </w:r>
    </w:p>
    <w:p w:rsidRPr="0045093D" w:rsidR="00A46E38" w:rsidP="00A46E38" w:rsidRDefault="00A46E38" w14:paraId="21AFDCCC" w14:textId="77777777">
      <w:pPr>
        <w:contextualSpacing/>
        <w:outlineLvl w:val="0"/>
        <w:rPr>
          <w:sz w:val="24"/>
        </w:rPr>
      </w:pPr>
    </w:p>
    <w:p w:rsidRPr="0045093D" w:rsidR="00A46E38" w:rsidP="00A46E38" w:rsidRDefault="00A46E38" w14:paraId="72B64750" w14:textId="68E85777">
      <w:pPr>
        <w:rPr>
          <w:sz w:val="24"/>
        </w:rPr>
      </w:pPr>
      <w:r w:rsidRPr="0045093D">
        <w:rPr>
          <w:sz w:val="24"/>
        </w:rPr>
        <w:t xml:space="preserve">Requerir a las entidades supervisadas </w:t>
      </w:r>
      <w:r>
        <w:rPr>
          <w:sz w:val="24"/>
        </w:rPr>
        <w:t xml:space="preserve">que </w:t>
      </w:r>
      <w:r w:rsidRPr="0045093D">
        <w:rPr>
          <w:sz w:val="24"/>
        </w:rPr>
        <w:t>informe</w:t>
      </w:r>
      <w:r>
        <w:rPr>
          <w:sz w:val="24"/>
        </w:rPr>
        <w:t>n</w:t>
      </w:r>
      <w:r w:rsidR="000F5FB4">
        <w:rPr>
          <w:sz w:val="24"/>
        </w:rPr>
        <w:t xml:space="preserve"> a esta</w:t>
      </w:r>
      <w:r w:rsidRPr="0045093D">
        <w:rPr>
          <w:sz w:val="24"/>
        </w:rPr>
        <w:t xml:space="preserve"> Superintendencia</w:t>
      </w:r>
      <w:r>
        <w:rPr>
          <w:sz w:val="24"/>
        </w:rPr>
        <w:t xml:space="preserve"> </w:t>
      </w:r>
      <w:r w:rsidR="000F5FB4">
        <w:rPr>
          <w:sz w:val="24"/>
        </w:rPr>
        <w:t xml:space="preserve">a más tardar el </w:t>
      </w:r>
      <w:r w:rsidRPr="000F5FB4" w:rsidR="000F5FB4">
        <w:rPr>
          <w:b/>
          <w:sz w:val="24"/>
        </w:rPr>
        <w:t>8 de noviembre de 2019</w:t>
      </w:r>
      <w:r w:rsidRPr="000F5FB4">
        <w:rPr>
          <w:b/>
          <w:sz w:val="24"/>
        </w:rPr>
        <w:t xml:space="preserve">, </w:t>
      </w:r>
      <w:r>
        <w:rPr>
          <w:sz w:val="24"/>
        </w:rPr>
        <w:t>lo siguiente</w:t>
      </w:r>
      <w:r w:rsidRPr="0045093D">
        <w:rPr>
          <w:sz w:val="24"/>
        </w:rPr>
        <w:t>:</w:t>
      </w:r>
    </w:p>
    <w:p w:rsidRPr="0045093D" w:rsidR="00A46E38" w:rsidP="00A46E38" w:rsidRDefault="00A46E38" w14:paraId="55DAB3A9" w14:textId="77777777">
      <w:pPr>
        <w:rPr>
          <w:sz w:val="24"/>
        </w:rPr>
      </w:pPr>
    </w:p>
    <w:p w:rsidR="00A46E38" w:rsidP="00A46E38" w:rsidRDefault="00A46E38" w14:paraId="0D8E3E56" w14:textId="50DD3D20">
      <w:pPr>
        <w:pStyle w:val="Prrafodelista"/>
        <w:numPr>
          <w:ilvl w:val="0"/>
          <w:numId w:val="16"/>
        </w:numPr>
        <w:jc w:val="both"/>
        <w:rPr>
          <w:rFonts w:ascii="Cambria" w:hAnsi="Cambria"/>
        </w:rPr>
      </w:pPr>
      <w:r w:rsidRPr="00E96D07">
        <w:rPr>
          <w:rFonts w:ascii="Cambria" w:hAnsi="Cambria"/>
        </w:rPr>
        <w:t xml:space="preserve">De los sujetos </w:t>
      </w:r>
      <w:r w:rsidRPr="00E96D07" w:rsidR="00050BA1">
        <w:rPr>
          <w:rFonts w:ascii="Cambria" w:hAnsi="Cambria"/>
        </w:rPr>
        <w:t xml:space="preserve">informados </w:t>
      </w:r>
      <w:r w:rsidRPr="00E96D07">
        <w:rPr>
          <w:rFonts w:ascii="Cambria" w:hAnsi="Cambria"/>
        </w:rPr>
        <w:t>por su Representada</w:t>
      </w:r>
      <w:r w:rsidRPr="00E96D07" w:rsidR="00050BA1">
        <w:rPr>
          <w:rFonts w:ascii="Cambria" w:hAnsi="Cambria"/>
        </w:rPr>
        <w:t xml:space="preserve"> como respuesta a la </w:t>
      </w:r>
      <w:r w:rsidRPr="00E96D07" w:rsidR="00050BA1">
        <w:rPr>
          <w:rFonts w:ascii="Cambria" w:hAnsi="Cambria"/>
        </w:rPr>
        <w:t>Circular Externa 1449-2019 del 16 de mayo del 2019</w:t>
      </w:r>
      <w:r w:rsidRPr="00E96D07">
        <w:rPr>
          <w:rFonts w:ascii="Cambria" w:hAnsi="Cambria"/>
        </w:rPr>
        <w:t xml:space="preserve">, como personas físicas y jurídicas con actividades </w:t>
      </w:r>
      <w:r w:rsidRPr="00E96D07" w:rsidR="00050BA1">
        <w:rPr>
          <w:rFonts w:ascii="Cambria" w:hAnsi="Cambria"/>
        </w:rPr>
        <w:t>descritas en los</w:t>
      </w:r>
      <w:r w:rsidRPr="00E96D07">
        <w:rPr>
          <w:rFonts w:ascii="Cambria" w:hAnsi="Cambria"/>
        </w:rPr>
        <w:t xml:space="preserve"> artículo</w:t>
      </w:r>
      <w:r w:rsidRPr="00E96D07" w:rsidR="0044222E">
        <w:rPr>
          <w:rFonts w:ascii="Cambria" w:hAnsi="Cambria"/>
        </w:rPr>
        <w:t>s</w:t>
      </w:r>
      <w:r w:rsidRPr="00E96D07">
        <w:rPr>
          <w:rFonts w:ascii="Cambria" w:hAnsi="Cambria"/>
        </w:rPr>
        <w:t xml:space="preserve"> 15 y 15 Bis de la Ley 7786, </w:t>
      </w:r>
      <w:r w:rsidRPr="00E96D07" w:rsidR="00050BA1">
        <w:rPr>
          <w:rFonts w:ascii="Cambria" w:hAnsi="Cambria"/>
        </w:rPr>
        <w:t xml:space="preserve">indicar, </w:t>
      </w:r>
      <w:r w:rsidRPr="00E96D07" w:rsidR="00050BA1">
        <w:rPr>
          <w:rFonts w:ascii="Cambria" w:hAnsi="Cambria"/>
          <w:b/>
        </w:rPr>
        <w:t xml:space="preserve">con corte al </w:t>
      </w:r>
      <w:r w:rsidRPr="00E96D07" w:rsidR="000F5FB4">
        <w:rPr>
          <w:rFonts w:ascii="Cambria" w:hAnsi="Cambria"/>
          <w:b/>
        </w:rPr>
        <w:t>31</w:t>
      </w:r>
      <w:r w:rsidRPr="00E96D07">
        <w:rPr>
          <w:rFonts w:ascii="Cambria" w:hAnsi="Cambria"/>
          <w:b/>
        </w:rPr>
        <w:t xml:space="preserve"> de octubre del presente</w:t>
      </w:r>
      <w:r w:rsidRPr="00E96D07" w:rsidR="00050BA1">
        <w:rPr>
          <w:rFonts w:ascii="Cambria" w:hAnsi="Cambria"/>
          <w:b/>
        </w:rPr>
        <w:t xml:space="preserve"> año</w:t>
      </w:r>
      <w:r w:rsidRPr="00E96D07">
        <w:rPr>
          <w:rFonts w:ascii="Cambria" w:hAnsi="Cambria"/>
        </w:rPr>
        <w:t xml:space="preserve">, </w:t>
      </w:r>
      <w:r w:rsidRPr="00E96D07" w:rsidR="00DA0129">
        <w:rPr>
          <w:rFonts w:ascii="Cambria" w:hAnsi="Cambria"/>
        </w:rPr>
        <w:t>cu</w:t>
      </w:r>
      <w:r w:rsidRPr="00E96D07" w:rsidR="00533667">
        <w:rPr>
          <w:rFonts w:ascii="Cambria" w:hAnsi="Cambria"/>
        </w:rPr>
        <w:t xml:space="preserve">ántos </w:t>
      </w:r>
      <w:r w:rsidRPr="00E96D07">
        <w:rPr>
          <w:rFonts w:ascii="Cambria" w:hAnsi="Cambria"/>
        </w:rPr>
        <w:t xml:space="preserve">clientes se han inscrito y cuál es el avance porcentual de </w:t>
      </w:r>
      <w:r w:rsidRPr="00E96D07" w:rsidR="00D8636D">
        <w:rPr>
          <w:rFonts w:ascii="Cambria" w:hAnsi="Cambria"/>
        </w:rPr>
        <w:t xml:space="preserve">dichas </w:t>
      </w:r>
      <w:r w:rsidRPr="00E96D07">
        <w:rPr>
          <w:rFonts w:ascii="Cambria" w:hAnsi="Cambria"/>
        </w:rPr>
        <w:t xml:space="preserve">inscripciones respecto de la cantidad de clientes reportados </w:t>
      </w:r>
      <w:r w:rsidRPr="00E96D07" w:rsidR="00050BA1">
        <w:rPr>
          <w:rFonts w:ascii="Cambria" w:hAnsi="Cambria"/>
        </w:rPr>
        <w:t>a esta Superintendencia</w:t>
      </w:r>
      <w:r w:rsidRPr="00E96D07">
        <w:rPr>
          <w:rFonts w:ascii="Cambria" w:hAnsi="Cambria"/>
        </w:rPr>
        <w:t>.</w:t>
      </w:r>
      <w:r w:rsidRPr="00E96D07" w:rsidR="00DA0129">
        <w:rPr>
          <w:rFonts w:ascii="Cambria" w:hAnsi="Cambria"/>
        </w:rPr>
        <w:t xml:space="preserve"> </w:t>
      </w:r>
    </w:p>
    <w:p w:rsidRPr="00E96D07" w:rsidR="00E96D07" w:rsidP="00E96D07" w:rsidRDefault="00E96D07" w14:paraId="3690175E" w14:textId="77777777">
      <w:pPr>
        <w:pStyle w:val="Prrafodelista"/>
        <w:ind w:left="720"/>
        <w:jc w:val="both"/>
        <w:rPr>
          <w:rFonts w:ascii="Cambria" w:hAnsi="Cambria"/>
        </w:rPr>
      </w:pPr>
    </w:p>
    <w:p w:rsidR="00A46E38" w:rsidP="00A46E38" w:rsidRDefault="00D8636D" w14:paraId="24FA1D2B" w14:textId="12CA2E33">
      <w:pPr>
        <w:pStyle w:val="Prrafodelista"/>
        <w:numPr>
          <w:ilvl w:val="0"/>
          <w:numId w:val="16"/>
        </w:numPr>
        <w:jc w:val="both"/>
        <w:rPr>
          <w:rFonts w:ascii="Cambria" w:hAnsi="Cambria"/>
        </w:rPr>
      </w:pPr>
      <w:r>
        <w:rPr>
          <w:rFonts w:ascii="Cambria" w:hAnsi="Cambria"/>
        </w:rPr>
        <w:t>Detallar, c</w:t>
      </w:r>
      <w:r w:rsidRPr="0045093D">
        <w:rPr>
          <w:rFonts w:ascii="Cambria" w:hAnsi="Cambria"/>
        </w:rPr>
        <w:t>uáles</w:t>
      </w:r>
      <w:r w:rsidRPr="0045093D" w:rsidR="00A46E38">
        <w:rPr>
          <w:rFonts w:ascii="Cambria" w:hAnsi="Cambria"/>
        </w:rPr>
        <w:t xml:space="preserve"> han sido las acciones </w:t>
      </w:r>
      <w:r w:rsidR="00050BA1">
        <w:rPr>
          <w:rFonts w:ascii="Cambria" w:hAnsi="Cambria"/>
        </w:rPr>
        <w:t xml:space="preserve">que </w:t>
      </w:r>
      <w:r w:rsidR="00A46E38">
        <w:rPr>
          <w:rFonts w:ascii="Cambria" w:hAnsi="Cambria"/>
        </w:rPr>
        <w:t>ha</w:t>
      </w:r>
      <w:r w:rsidRPr="0045093D" w:rsidR="00A46E38">
        <w:rPr>
          <w:rFonts w:ascii="Cambria" w:hAnsi="Cambria"/>
        </w:rPr>
        <w:t xml:space="preserve"> tomado </w:t>
      </w:r>
      <w:r w:rsidR="00A46E38">
        <w:rPr>
          <w:rFonts w:ascii="Cambria" w:hAnsi="Cambria"/>
        </w:rPr>
        <w:t xml:space="preserve">la entidad </w:t>
      </w:r>
      <w:r w:rsidRPr="0045093D" w:rsidR="00A46E38">
        <w:rPr>
          <w:rFonts w:ascii="Cambria" w:hAnsi="Cambria"/>
        </w:rPr>
        <w:t xml:space="preserve">respecto de los clientes que no se han inscrito a la fecha </w:t>
      </w:r>
      <w:r w:rsidR="00A46E38">
        <w:rPr>
          <w:rFonts w:ascii="Cambria" w:hAnsi="Cambria"/>
        </w:rPr>
        <w:t xml:space="preserve">en SUGEF </w:t>
      </w:r>
      <w:r w:rsidR="00050BA1">
        <w:rPr>
          <w:rFonts w:ascii="Cambria" w:hAnsi="Cambria"/>
        </w:rPr>
        <w:t>y qué</w:t>
      </w:r>
      <w:r w:rsidRPr="0045093D" w:rsidR="00A46E38">
        <w:rPr>
          <w:rFonts w:ascii="Cambria" w:hAnsi="Cambria"/>
        </w:rPr>
        <w:t xml:space="preserve"> otras medidas implementarán para </w:t>
      </w:r>
      <w:r w:rsidR="0044222E">
        <w:rPr>
          <w:rFonts w:ascii="Cambria" w:hAnsi="Cambria"/>
        </w:rPr>
        <w:t>procurar la inscripción de los sujetos</w:t>
      </w:r>
      <w:r w:rsidRPr="0045093D" w:rsidR="00A46E38">
        <w:rPr>
          <w:rFonts w:ascii="Cambria" w:hAnsi="Cambria"/>
        </w:rPr>
        <w:t xml:space="preserve"> notificados</w:t>
      </w:r>
      <w:r w:rsidR="00A46E38">
        <w:rPr>
          <w:rFonts w:ascii="Cambria" w:hAnsi="Cambria"/>
        </w:rPr>
        <w:t xml:space="preserve"> a este Órgano de Supervisión.</w:t>
      </w:r>
    </w:p>
    <w:p w:rsidRPr="00050BA1" w:rsidR="00050BA1" w:rsidP="00050BA1" w:rsidRDefault="00050BA1" w14:paraId="7A0453F0" w14:textId="77777777">
      <w:pPr>
        <w:pStyle w:val="Prrafodelista"/>
        <w:rPr>
          <w:rFonts w:ascii="Cambria" w:hAnsi="Cambria"/>
        </w:rPr>
      </w:pPr>
    </w:p>
    <w:p w:rsidR="00050BA1" w:rsidP="00050BA1" w:rsidRDefault="00050BA1" w14:paraId="62087884" w14:textId="3BCC451E">
      <w:pPr>
        <w:pStyle w:val="Prrafodelista"/>
        <w:ind w:left="720"/>
        <w:jc w:val="both"/>
        <w:rPr>
          <w:rFonts w:ascii="Cambria" w:hAnsi="Cambria"/>
        </w:rPr>
      </w:pPr>
      <w:r>
        <w:rPr>
          <w:rFonts w:ascii="Cambria" w:hAnsi="Cambria"/>
        </w:rPr>
        <w:t>Entre esto reportar el detalle de clientes (Nombre y número de identificación en archivo excel)</w:t>
      </w:r>
      <w:r w:rsidR="00C844A9">
        <w:rPr>
          <w:rFonts w:ascii="Cambria" w:hAnsi="Cambria"/>
        </w:rPr>
        <w:t>,</w:t>
      </w:r>
      <w:r>
        <w:rPr>
          <w:rFonts w:ascii="Cambria" w:hAnsi="Cambria"/>
        </w:rPr>
        <w:t xml:space="preserve"> </w:t>
      </w:r>
      <w:r w:rsidR="0080795E">
        <w:rPr>
          <w:rFonts w:ascii="Cambria" w:hAnsi="Cambria"/>
        </w:rPr>
        <w:t>a</w:t>
      </w:r>
      <w:r>
        <w:rPr>
          <w:rFonts w:ascii="Cambria" w:hAnsi="Cambria"/>
        </w:rPr>
        <w:t xml:space="preserve"> los que se les han cerrado las cuentas como resultado de no cumplir con su obligatoriedad de inscripción.</w:t>
      </w:r>
    </w:p>
    <w:p w:rsidR="00C4055F" w:rsidP="00050BA1" w:rsidRDefault="00C4055F" w14:paraId="44CD7B9E" w14:textId="1C0A54CA">
      <w:pPr>
        <w:pStyle w:val="Prrafodelista"/>
        <w:ind w:left="720"/>
        <w:jc w:val="both"/>
        <w:rPr>
          <w:rFonts w:ascii="Cambria" w:hAnsi="Cambria"/>
        </w:rPr>
      </w:pPr>
    </w:p>
    <w:p w:rsidRPr="0045093D" w:rsidR="00C4055F" w:rsidP="00C4055F" w:rsidRDefault="00C4055F" w14:paraId="17B5299E" w14:textId="5BD3AE9E">
      <w:pPr>
        <w:pStyle w:val="Prrafodelista"/>
        <w:ind w:left="720"/>
        <w:jc w:val="both"/>
        <w:rPr>
          <w:rFonts w:ascii="Cambria" w:hAnsi="Cambria"/>
        </w:rPr>
      </w:pPr>
      <w:r>
        <w:rPr>
          <w:rFonts w:ascii="Cambria" w:hAnsi="Cambria"/>
        </w:rPr>
        <w:t xml:space="preserve">Indicar </w:t>
      </w:r>
      <w:r w:rsidR="00C844A9">
        <w:rPr>
          <w:rFonts w:ascii="Cambria" w:hAnsi="Cambria"/>
        </w:rPr>
        <w:t xml:space="preserve">además, </w:t>
      </w:r>
      <w:r>
        <w:rPr>
          <w:rFonts w:ascii="Cambria" w:hAnsi="Cambria"/>
        </w:rPr>
        <w:t xml:space="preserve">si la entidad financiera ha dispuesto </w:t>
      </w:r>
      <w:r w:rsidR="00C844A9">
        <w:rPr>
          <w:rFonts w:ascii="Cambria" w:hAnsi="Cambria"/>
        </w:rPr>
        <w:t xml:space="preserve">políticas y procedimientos </w:t>
      </w:r>
      <w:r>
        <w:rPr>
          <w:rFonts w:ascii="Cambria" w:hAnsi="Cambria"/>
        </w:rPr>
        <w:t>y ha</w:t>
      </w:r>
      <w:r w:rsidR="00C844A9">
        <w:rPr>
          <w:rFonts w:ascii="Cambria" w:hAnsi="Cambria"/>
        </w:rPr>
        <w:t xml:space="preserve"> verificado la efectividad de lo</w:t>
      </w:r>
      <w:r>
        <w:rPr>
          <w:rFonts w:ascii="Cambria" w:hAnsi="Cambria"/>
        </w:rPr>
        <w:t>s mismos, en la identificación y control de cuentas de uso exclusivo para las actividades inscritas ante la SUGEF.</w:t>
      </w:r>
      <w:bookmarkStart w:name="_GoBack" w:id="0"/>
      <w:bookmarkEnd w:id="0"/>
    </w:p>
    <w:p w:rsidRPr="0045093D" w:rsidR="00A46E38" w:rsidP="00A46E38" w:rsidRDefault="00A46E38" w14:paraId="2A3DCFBE" w14:textId="77777777">
      <w:pPr>
        <w:pStyle w:val="Prrafodelista"/>
        <w:jc w:val="both"/>
        <w:rPr>
          <w:rFonts w:ascii="Cambria" w:hAnsi="Cambria"/>
        </w:rPr>
      </w:pPr>
    </w:p>
    <w:p w:rsidR="00A46E38" w:rsidP="00D26EDE" w:rsidRDefault="00A46E38" w14:paraId="4ABA9F7C" w14:textId="77777777">
      <w:pPr>
        <w:pStyle w:val="Texto0"/>
        <w:spacing w:before="0" w:after="0" w:line="240" w:lineRule="auto"/>
        <w:rPr>
          <w:sz w:val="24"/>
        </w:rPr>
      </w:pPr>
    </w:p>
    <w:p w:rsidRPr="002E2B0A" w:rsidR="0071134B" w:rsidP="00D26EDE" w:rsidRDefault="00D8636D" w14:paraId="0D93D28B" w14:textId="6A8C819C">
      <w:pPr>
        <w:pStyle w:val="Texto0"/>
        <w:spacing w:before="0" w:after="0" w:line="240" w:lineRule="auto"/>
        <w:rPr>
          <w:sz w:val="24"/>
        </w:rPr>
      </w:pPr>
      <w:r>
        <w:rPr>
          <w:sz w:val="24"/>
        </w:rPr>
        <w:t>Aten</w:t>
      </w:r>
      <w:r w:rsidRPr="002E2B0A" w:rsidR="0071134B">
        <w:rPr>
          <w:sz w:val="24"/>
        </w:rPr>
        <w:t>tamente,</w:t>
      </w:r>
    </w:p>
    <w:p w:rsidR="000F34AE" w:rsidP="00D26EDE" w:rsidRDefault="00C4055F" w14:paraId="7B00CADA" w14:textId="2B553449">
      <w:pPr>
        <w:spacing w:line="240" w:lineRule="auto"/>
        <w:rPr>
          <w:sz w:val="24"/>
        </w:rPr>
      </w:pPr>
      <w:r>
        <w:rPr>
          <w:noProof/>
          <w:lang w:val="es-CR" w:eastAsia="es-CR"/>
        </w:rPr>
        <w:drawing>
          <wp:anchor distT="0" distB="0" distL="114300" distR="114300" simplePos="0" relativeHeight="251658240" behindDoc="1" locked="0" layoutInCell="1" allowOverlap="1" wp14:editId="66960B09" wp14:anchorId="0F01A1D4">
            <wp:simplePos x="0" y="0"/>
            <wp:positionH relativeFrom="margin">
              <wp:align>left</wp:align>
            </wp:positionH>
            <wp:positionV relativeFrom="paragraph">
              <wp:posOffset>154281</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D8636D" w:rsidP="00D26EDE" w:rsidRDefault="00D8636D" w14:paraId="0A306909" w14:textId="46438C42">
      <w:pPr>
        <w:spacing w:line="240" w:lineRule="auto"/>
        <w:rPr>
          <w:sz w:val="24"/>
        </w:rPr>
      </w:pPr>
    </w:p>
    <w:p w:rsidR="00D8636D" w:rsidP="00D26EDE" w:rsidRDefault="00D8636D" w14:paraId="57F0A700" w14:textId="790579BF">
      <w:pPr>
        <w:spacing w:line="240" w:lineRule="auto"/>
        <w:rPr>
          <w:sz w:val="24"/>
        </w:rPr>
      </w:pPr>
    </w:p>
    <w:p w:rsidRPr="002E2B0A" w:rsidR="00C4055F" w:rsidP="00D26EDE" w:rsidRDefault="00C4055F" w14:paraId="04D2C1F6" w14:textId="77777777">
      <w:pPr>
        <w:spacing w:line="240" w:lineRule="auto"/>
        <w:rPr>
          <w:sz w:val="24"/>
        </w:rPr>
      </w:pPr>
    </w:p>
    <w:p w:rsidR="0063474B" w:rsidP="0063474B" w:rsidRDefault="0063474B" w14:paraId="6872FB6A" w14:textId="3F10B6F4">
      <w:pPr>
        <w:jc w:val="left"/>
        <w:rPr>
          <w:sz w:val="24"/>
        </w:rPr>
      </w:pPr>
      <w:r>
        <w:rPr>
          <w:sz w:val="24"/>
        </w:rPr>
        <w:t>Bernardo Alfaro A.</w:t>
      </w:r>
      <w:r>
        <w:rPr>
          <w:sz w:val="24"/>
        </w:rPr>
        <w:br/>
      </w:r>
      <w:r w:rsidRPr="00072CDB">
        <w:rPr>
          <w:b/>
          <w:sz w:val="24"/>
        </w:rPr>
        <w:t>Superintendente</w:t>
      </w:r>
    </w:p>
    <w:p w:rsidR="00623AFE" w:rsidP="00623AFE" w:rsidRDefault="00623AFE" w14:paraId="1E23F2D8" w14:textId="139C2E79">
      <w:pPr>
        <w:jc w:val="left"/>
        <w:rPr>
          <w:b/>
          <w:sz w:val="24"/>
        </w:rPr>
      </w:pPr>
    </w:p>
    <w:p w:rsidR="008F1461" w:rsidP="0085692C" w:rsidRDefault="008F1461" w14:paraId="11E84342" w14:textId="0730D5C4">
      <w:pPr>
        <w:pStyle w:val="Negrita"/>
      </w:pPr>
    </w:p>
    <w:p w:rsidR="0071134B" w:rsidP="0085692C" w:rsidRDefault="0071134B" w14:paraId="1668E90F" w14:textId="77777777">
      <w:pPr>
        <w:pStyle w:val="Negrita"/>
      </w:pPr>
    </w:p>
    <w:p w:rsidRPr="0085692C" w:rsidR="00A26E9E" w:rsidP="00590F07" w:rsidRDefault="00A46E38" w14:paraId="51C1B320" w14:textId="6D6D9D20">
      <w:pPr>
        <w:pStyle w:val="CC"/>
      </w:pPr>
      <w:r>
        <w:t>BAA/RAC/ksh</w:t>
      </w:r>
    </w:p>
    <w:sectPr w:rsidRPr="0085692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9CBB2" w14:textId="77777777" w:rsidR="0099277D" w:rsidRDefault="0099277D" w:rsidP="00D43D57">
      <w:r>
        <w:separator/>
      </w:r>
    </w:p>
  </w:endnote>
  <w:endnote w:type="continuationSeparator" w:id="0">
    <w:p w14:paraId="1475CF01" w14:textId="77777777" w:rsidR="0099277D" w:rsidRDefault="0099277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BA8419F"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3D5B8D8F" w14:textId="77777777">
      <w:trPr>
        <w:trHeight w:val="546"/>
      </w:trPr>
      <w:tc>
        <w:tcPr>
          <w:tcW w:w="3189" w:type="dxa"/>
          <w:shd w:val="clear" w:color="auto" w:fill="FFFFFF"/>
          <w:vAlign w:val="center"/>
        </w:tcPr>
        <w:p w:rsidR="008F1461" w:rsidP="000C62BB" w:rsidRDefault="008F1461" w14:paraId="30EA6C9F" w14:textId="77777777">
          <w:pPr>
            <w:pStyle w:val="Piepagina"/>
          </w:pPr>
          <w:r>
            <w:rPr>
              <w:b/>
              <w:bCs/>
            </w:rPr>
            <w:t>Teléfono</w:t>
          </w:r>
          <w:r>
            <w:t xml:space="preserve">   (506) 2243-4848</w:t>
          </w:r>
        </w:p>
        <w:p w:rsidR="008F1461" w:rsidP="000C62BB" w:rsidRDefault="008F1461" w14:paraId="2C55CCF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2A57C04" w14:textId="77777777">
          <w:pPr>
            <w:pStyle w:val="Piepagina"/>
          </w:pPr>
          <w:r>
            <w:rPr>
              <w:b/>
              <w:bCs/>
            </w:rPr>
            <w:t>Apartado</w:t>
          </w:r>
          <w:r>
            <w:t xml:space="preserve"> 2762-1000</w:t>
          </w:r>
        </w:p>
        <w:p w:rsidR="008F1461" w:rsidP="000C62BB" w:rsidRDefault="008F1461" w14:paraId="5193A68E" w14:textId="77777777">
          <w:pPr>
            <w:pStyle w:val="Piepagina"/>
          </w:pPr>
          <w:r>
            <w:t>San José, Costa Rica</w:t>
          </w:r>
        </w:p>
      </w:tc>
      <w:tc>
        <w:tcPr>
          <w:tcW w:w="2410" w:type="dxa"/>
          <w:shd w:val="clear" w:color="auto" w:fill="FFFFFF"/>
          <w:vAlign w:val="center"/>
        </w:tcPr>
        <w:p w:rsidR="008F1461" w:rsidP="000C62BB" w:rsidRDefault="008F1461" w14:paraId="28696E3A" w14:textId="77777777">
          <w:pPr>
            <w:pStyle w:val="Piepagina"/>
          </w:pPr>
          <w:r>
            <w:t>www.sugef.fi.cr</w:t>
          </w:r>
        </w:p>
        <w:p w:rsidR="008F1461" w:rsidP="000C62BB" w:rsidRDefault="008F1461" w14:paraId="6FB67C56" w14:textId="77777777">
          <w:pPr>
            <w:pStyle w:val="Piepagina"/>
          </w:pPr>
          <w:r>
            <w:t>sugefcr@sugef.fi.cr</w:t>
          </w:r>
        </w:p>
      </w:tc>
      <w:tc>
        <w:tcPr>
          <w:tcW w:w="260" w:type="dxa"/>
          <w:shd w:val="clear" w:color="auto" w:fill="FFFFFF"/>
        </w:tcPr>
        <w:p w:rsidR="008F1461" w:rsidP="000C62BB" w:rsidRDefault="008F1461" w14:paraId="46CCE435" w14:textId="77777777">
          <w:pPr>
            <w:pStyle w:val="Piepagina"/>
          </w:pPr>
          <w:r>
            <w:fldChar w:fldCharType="begin"/>
          </w:r>
          <w:r>
            <w:instrText>PAGE   \* MERGEFORMAT</w:instrText>
          </w:r>
          <w:r>
            <w:fldChar w:fldCharType="separate"/>
          </w:r>
          <w:r w:rsidR="00E96D07">
            <w:rPr>
              <w:noProof/>
            </w:rPr>
            <w:t>4</w:t>
          </w:r>
          <w:r>
            <w:fldChar w:fldCharType="end"/>
          </w:r>
        </w:p>
      </w:tc>
    </w:tr>
  </w:tbl>
  <w:p w:rsidRPr="000C62BB" w:rsidR="00590F07" w:rsidRDefault="00590F07" w14:paraId="7C528BA6" w14:textId="77777777">
    <w:pPr>
      <w:pStyle w:val="Piedepgina"/>
      <w:jc w:val="right"/>
      <w:rPr>
        <w:color w:val="969696"/>
        <w:sz w:val="20"/>
        <w:szCs w:val="20"/>
      </w:rPr>
    </w:pPr>
  </w:p>
  <w:p w:rsidR="001C075B" w:rsidP="00FA54DF" w:rsidRDefault="001C075B" w14:paraId="05C4644E"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6D969BC" w14:textId="77777777">
    <w:pPr>
      <w:pStyle w:val="Piepagina"/>
      <w:jc w:val="center"/>
    </w:pPr>
    <w:r>
      <w:rPr>
        <w:noProof/>
        <w:lang w:val="es-CR" w:eastAsia="es-CR"/>
      </w:rPr>
      <w:drawing>
        <wp:anchor distT="0" distB="0" distL="114300" distR="114300" simplePos="0" relativeHeight="251669504" behindDoc="1" locked="0" layoutInCell="1" allowOverlap="1" wp14:editId="70417825" wp14:anchorId="0E26596E">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28062E5" wp14:anchorId="1AAB239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25EB048" w14:textId="77777777">
                          <w:pPr>
                            <w:rPr>
                              <w:color w:val="003A68"/>
                              <w:sz w:val="14"/>
                              <w:szCs w:val="14"/>
                            </w:rPr>
                          </w:pPr>
                          <w:r w:rsidRPr="00FA54DF">
                            <w:rPr>
                              <w:color w:val="003A68"/>
                              <w:sz w:val="14"/>
                              <w:szCs w:val="14"/>
                            </w:rPr>
                            <w:t xml:space="preserve">T. (506) 2243-3631   </w:t>
                          </w:r>
                        </w:p>
                        <w:p w:rsidRPr="00FA54DF" w:rsidR="001C075B" w:rsidRDefault="001C075B" w14:paraId="059D5968" w14:textId="77777777">
                          <w:pPr>
                            <w:rPr>
                              <w:color w:val="003A68"/>
                              <w:sz w:val="14"/>
                              <w:szCs w:val="14"/>
                            </w:rPr>
                          </w:pPr>
                          <w:r w:rsidRPr="00FA54DF">
                            <w:rPr>
                              <w:color w:val="003A68"/>
                              <w:sz w:val="14"/>
                              <w:szCs w:val="14"/>
                            </w:rPr>
                            <w:t xml:space="preserve">F. (506) 2243-4579   </w:t>
                          </w:r>
                        </w:p>
                        <w:p w:rsidR="001C075B" w:rsidRDefault="001C075B" w14:paraId="007B9473" w14:textId="77777777">
                          <w:pPr>
                            <w:rPr>
                              <w:color w:val="003A68"/>
                              <w:sz w:val="14"/>
                              <w:szCs w:val="14"/>
                            </w:rPr>
                          </w:pPr>
                          <w:r w:rsidRPr="00FA54DF">
                            <w:rPr>
                              <w:color w:val="003A68"/>
                              <w:sz w:val="14"/>
                              <w:szCs w:val="14"/>
                            </w:rPr>
                            <w:t>Apdo. 10058-1000</w:t>
                          </w:r>
                        </w:p>
                        <w:p w:rsidR="001C075B" w:rsidRDefault="001C075B" w14:paraId="1FFAA396" w14:textId="77777777">
                          <w:pPr>
                            <w:rPr>
                              <w:color w:val="003A68"/>
                              <w:sz w:val="14"/>
                              <w:szCs w:val="14"/>
                            </w:rPr>
                          </w:pPr>
                          <w:r w:rsidRPr="00FA54DF">
                            <w:rPr>
                              <w:color w:val="003A68"/>
                              <w:sz w:val="14"/>
                              <w:szCs w:val="14"/>
                            </w:rPr>
                            <w:t>Av. 1 y Central, Calles 2 y 4</w:t>
                          </w:r>
                        </w:p>
                        <w:p w:rsidRPr="00FA54DF" w:rsidR="001C075B" w:rsidRDefault="001C075B" w14:paraId="6D627554"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AAB2392">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25EB048" w14:textId="77777777">
                    <w:pPr>
                      <w:rPr>
                        <w:color w:val="003A68"/>
                        <w:sz w:val="14"/>
                        <w:szCs w:val="14"/>
                      </w:rPr>
                    </w:pPr>
                    <w:r w:rsidRPr="00FA54DF">
                      <w:rPr>
                        <w:color w:val="003A68"/>
                        <w:sz w:val="14"/>
                        <w:szCs w:val="14"/>
                      </w:rPr>
                      <w:t xml:space="preserve">T. (506) 2243-3631   </w:t>
                    </w:r>
                  </w:p>
                  <w:p w:rsidRPr="00FA54DF" w:rsidR="001C075B" w:rsidRDefault="001C075B" w14:paraId="059D5968" w14:textId="77777777">
                    <w:pPr>
                      <w:rPr>
                        <w:color w:val="003A68"/>
                        <w:sz w:val="14"/>
                        <w:szCs w:val="14"/>
                      </w:rPr>
                    </w:pPr>
                    <w:r w:rsidRPr="00FA54DF">
                      <w:rPr>
                        <w:color w:val="003A68"/>
                        <w:sz w:val="14"/>
                        <w:szCs w:val="14"/>
                      </w:rPr>
                      <w:t xml:space="preserve">F. (506) 2243-4579   </w:t>
                    </w:r>
                  </w:p>
                  <w:p w:rsidR="001C075B" w:rsidRDefault="001C075B" w14:paraId="007B9473" w14:textId="77777777">
                    <w:pPr>
                      <w:rPr>
                        <w:color w:val="003A68"/>
                        <w:sz w:val="14"/>
                        <w:szCs w:val="14"/>
                      </w:rPr>
                    </w:pPr>
                    <w:r w:rsidRPr="00FA54DF">
                      <w:rPr>
                        <w:color w:val="003A68"/>
                        <w:sz w:val="14"/>
                        <w:szCs w:val="14"/>
                      </w:rPr>
                      <w:t>Apdo. 10058-1000</w:t>
                    </w:r>
                  </w:p>
                  <w:p w:rsidR="001C075B" w:rsidRDefault="001C075B" w14:paraId="1FFAA396" w14:textId="77777777">
                    <w:pPr>
                      <w:rPr>
                        <w:color w:val="003A68"/>
                        <w:sz w:val="14"/>
                        <w:szCs w:val="14"/>
                      </w:rPr>
                    </w:pPr>
                    <w:r w:rsidRPr="00FA54DF">
                      <w:rPr>
                        <w:color w:val="003A68"/>
                        <w:sz w:val="14"/>
                        <w:szCs w:val="14"/>
                      </w:rPr>
                      <w:t>Av. 1 y Central, Calles 2 y 4</w:t>
                    </w:r>
                  </w:p>
                  <w:p w:rsidRPr="00FA54DF" w:rsidR="001C075B" w:rsidRDefault="001C075B" w14:paraId="6D627554" w14:textId="77777777">
                    <w:pPr>
                      <w:rPr>
                        <w:color w:val="003A68"/>
                        <w:sz w:val="14"/>
                        <w:szCs w:val="14"/>
                      </w:rPr>
                    </w:pPr>
                  </w:p>
                </w:txbxContent>
              </v:textbox>
            </v:shape>
          </w:pict>
        </mc:Fallback>
      </mc:AlternateContent>
    </w:r>
  </w:p>
  <w:p w:rsidRPr="00D43D57" w:rsidR="001C075B" w:rsidP="008C0BF0" w:rsidRDefault="001C075B" w14:paraId="0DBA48BC" w14:textId="77777777">
    <w:pPr>
      <w:pStyle w:val="Piepagina"/>
      <w:jc w:val="center"/>
    </w:pPr>
  </w:p>
  <w:p w:rsidR="001C075B" w:rsidRDefault="001C075B" w14:paraId="3E851C7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30FE" w14:textId="77777777" w:rsidR="0099277D" w:rsidRDefault="0099277D" w:rsidP="00D43D57">
      <w:r>
        <w:separator/>
      </w:r>
    </w:p>
  </w:footnote>
  <w:footnote w:type="continuationSeparator" w:id="0">
    <w:p w14:paraId="5166E568" w14:textId="77777777" w:rsidR="0099277D" w:rsidRDefault="0099277D"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4EA088C" w14:textId="77777777">
    <w:pPr>
      <w:pStyle w:val="Piedepgina"/>
      <w:jc w:val="center"/>
    </w:pPr>
    <w:r>
      <w:rPr>
        <w:noProof/>
        <w:lang w:val="es-CR" w:eastAsia="es-CR"/>
      </w:rPr>
      <w:drawing>
        <wp:inline distT="0" distB="0" distL="0" distR="0" wp14:anchorId="3B518A6E" wp14:editId="4238833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521DCD1" w14:textId="77777777">
    <w:pPr>
      <w:pStyle w:val="Encabezado"/>
      <w:pBdr>
        <w:bottom w:val="single" w:color="auto" w:sz="4" w:space="3"/>
      </w:pBdr>
      <w:ind w:right="-1"/>
      <w:rPr>
        <w:b/>
        <w:sz w:val="20"/>
        <w:szCs w:val="20"/>
      </w:rPr>
    </w:pPr>
    <w:r>
      <w:rPr>
        <w:noProof/>
        <w:lang w:val="es-CR" w:eastAsia="es-CR"/>
      </w:rPr>
      <w:drawing>
        <wp:inline distT="0" distB="0" distL="0" distR="0" wp14:anchorId="0D0DB17E" wp14:editId="615ED536">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F212001"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314D"/>
    <w:multiLevelType w:val="hybridMultilevel"/>
    <w:tmpl w:val="2C16AF5C"/>
    <w:lvl w:ilvl="0" w:tplc="DE1A1AA0">
      <w:start w:val="1"/>
      <w:numFmt w:val="lowerLetter"/>
      <w:lvlText w:val="%1)"/>
      <w:lvlJc w:val="left"/>
      <w:pPr>
        <w:ind w:left="720" w:hanging="360"/>
      </w:pPr>
      <w:rPr>
        <w:rFonts w:ascii="Cambria" w:hAnsi="Cambria"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F795934"/>
    <w:multiLevelType w:val="hybridMultilevel"/>
    <w:tmpl w:val="E1620A1C"/>
    <w:lvl w:ilvl="0" w:tplc="140A0019">
      <w:start w:val="1"/>
      <w:numFmt w:val="lowerLetter"/>
      <w:lvlText w:val="%1."/>
      <w:lvlJc w:val="left"/>
      <w:pPr>
        <w:ind w:left="0" w:hanging="360"/>
      </w:pPr>
      <w:rPr>
        <w:b/>
        <w:i w:val="0"/>
      </w:rPr>
    </w:lvl>
    <w:lvl w:ilvl="1" w:tplc="140A0019">
      <w:start w:val="1"/>
      <w:numFmt w:val="lowerLetter"/>
      <w:lvlText w:val="%2."/>
      <w:lvlJc w:val="left"/>
      <w:pPr>
        <w:ind w:left="720" w:hanging="360"/>
      </w:pPr>
    </w:lvl>
    <w:lvl w:ilvl="2" w:tplc="140A001B" w:tentative="1">
      <w:start w:val="1"/>
      <w:numFmt w:val="lowerRoman"/>
      <w:lvlText w:val="%3."/>
      <w:lvlJc w:val="right"/>
      <w:pPr>
        <w:ind w:left="1440" w:hanging="180"/>
      </w:pPr>
    </w:lvl>
    <w:lvl w:ilvl="3" w:tplc="140A000F" w:tentative="1">
      <w:start w:val="1"/>
      <w:numFmt w:val="decimal"/>
      <w:lvlText w:val="%4."/>
      <w:lvlJc w:val="left"/>
      <w:pPr>
        <w:ind w:left="2160" w:hanging="360"/>
      </w:pPr>
    </w:lvl>
    <w:lvl w:ilvl="4" w:tplc="140A0019" w:tentative="1">
      <w:start w:val="1"/>
      <w:numFmt w:val="lowerLetter"/>
      <w:lvlText w:val="%5."/>
      <w:lvlJc w:val="left"/>
      <w:pPr>
        <w:ind w:left="2880" w:hanging="360"/>
      </w:pPr>
    </w:lvl>
    <w:lvl w:ilvl="5" w:tplc="140A001B" w:tentative="1">
      <w:start w:val="1"/>
      <w:numFmt w:val="lowerRoman"/>
      <w:lvlText w:val="%6."/>
      <w:lvlJc w:val="right"/>
      <w:pPr>
        <w:ind w:left="3600" w:hanging="180"/>
      </w:pPr>
    </w:lvl>
    <w:lvl w:ilvl="6" w:tplc="140A000F" w:tentative="1">
      <w:start w:val="1"/>
      <w:numFmt w:val="decimal"/>
      <w:lvlText w:val="%7."/>
      <w:lvlJc w:val="left"/>
      <w:pPr>
        <w:ind w:left="4320" w:hanging="360"/>
      </w:pPr>
    </w:lvl>
    <w:lvl w:ilvl="7" w:tplc="140A0019" w:tentative="1">
      <w:start w:val="1"/>
      <w:numFmt w:val="lowerLetter"/>
      <w:lvlText w:val="%8."/>
      <w:lvlJc w:val="left"/>
      <w:pPr>
        <w:ind w:left="5040" w:hanging="360"/>
      </w:pPr>
    </w:lvl>
    <w:lvl w:ilvl="8" w:tplc="140A001B" w:tentative="1">
      <w:start w:val="1"/>
      <w:numFmt w:val="lowerRoman"/>
      <w:lvlText w:val="%9."/>
      <w:lvlJc w:val="right"/>
      <w:pPr>
        <w:ind w:left="5760" w:hanging="180"/>
      </w:pPr>
    </w:lvl>
  </w:abstractNum>
  <w:abstractNum w:abstractNumId="1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7D"/>
    <w:rsid w:val="000064A4"/>
    <w:rsid w:val="00016F39"/>
    <w:rsid w:val="000235B5"/>
    <w:rsid w:val="00026C85"/>
    <w:rsid w:val="00030100"/>
    <w:rsid w:val="00041BDD"/>
    <w:rsid w:val="000439A6"/>
    <w:rsid w:val="000445D9"/>
    <w:rsid w:val="00050BA1"/>
    <w:rsid w:val="00060C03"/>
    <w:rsid w:val="000646DD"/>
    <w:rsid w:val="000771C2"/>
    <w:rsid w:val="00081865"/>
    <w:rsid w:val="00082968"/>
    <w:rsid w:val="000C62BB"/>
    <w:rsid w:val="000E0AC6"/>
    <w:rsid w:val="000F34AE"/>
    <w:rsid w:val="000F5FB4"/>
    <w:rsid w:val="00117501"/>
    <w:rsid w:val="001322B4"/>
    <w:rsid w:val="001327EB"/>
    <w:rsid w:val="0016220C"/>
    <w:rsid w:val="001653C6"/>
    <w:rsid w:val="001946F4"/>
    <w:rsid w:val="001A6574"/>
    <w:rsid w:val="001B70CB"/>
    <w:rsid w:val="001C075B"/>
    <w:rsid w:val="001C5806"/>
    <w:rsid w:val="001E0448"/>
    <w:rsid w:val="00230C67"/>
    <w:rsid w:val="002645B7"/>
    <w:rsid w:val="002C56A4"/>
    <w:rsid w:val="002E26C3"/>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222E"/>
    <w:rsid w:val="00445881"/>
    <w:rsid w:val="00447A41"/>
    <w:rsid w:val="004822E6"/>
    <w:rsid w:val="00492FE3"/>
    <w:rsid w:val="004D7F44"/>
    <w:rsid w:val="004E322E"/>
    <w:rsid w:val="004F74E7"/>
    <w:rsid w:val="005105C4"/>
    <w:rsid w:val="00533667"/>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5F071E"/>
    <w:rsid w:val="006033C4"/>
    <w:rsid w:val="00603B3F"/>
    <w:rsid w:val="00604A3D"/>
    <w:rsid w:val="0060703F"/>
    <w:rsid w:val="00614D68"/>
    <w:rsid w:val="00620B23"/>
    <w:rsid w:val="00623AFE"/>
    <w:rsid w:val="0062633F"/>
    <w:rsid w:val="00630B5C"/>
    <w:rsid w:val="0063474B"/>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2223"/>
    <w:rsid w:val="0079518D"/>
    <w:rsid w:val="007B18D6"/>
    <w:rsid w:val="007B391D"/>
    <w:rsid w:val="007B51DD"/>
    <w:rsid w:val="007C1A6C"/>
    <w:rsid w:val="007D1328"/>
    <w:rsid w:val="007F1723"/>
    <w:rsid w:val="007F327D"/>
    <w:rsid w:val="007F3A44"/>
    <w:rsid w:val="007F5430"/>
    <w:rsid w:val="0080795E"/>
    <w:rsid w:val="008202A0"/>
    <w:rsid w:val="008310AB"/>
    <w:rsid w:val="00832753"/>
    <w:rsid w:val="00842773"/>
    <w:rsid w:val="0085692C"/>
    <w:rsid w:val="00864362"/>
    <w:rsid w:val="00887400"/>
    <w:rsid w:val="00892708"/>
    <w:rsid w:val="00893B0D"/>
    <w:rsid w:val="00895097"/>
    <w:rsid w:val="008A1AA2"/>
    <w:rsid w:val="008A63B7"/>
    <w:rsid w:val="008A69C1"/>
    <w:rsid w:val="008A7813"/>
    <w:rsid w:val="008B3838"/>
    <w:rsid w:val="008C0BF0"/>
    <w:rsid w:val="008D0528"/>
    <w:rsid w:val="008E5850"/>
    <w:rsid w:val="008F1461"/>
    <w:rsid w:val="008F33F5"/>
    <w:rsid w:val="00904CBE"/>
    <w:rsid w:val="00906CC5"/>
    <w:rsid w:val="00934F3E"/>
    <w:rsid w:val="00936085"/>
    <w:rsid w:val="009475B6"/>
    <w:rsid w:val="00957A11"/>
    <w:rsid w:val="00962265"/>
    <w:rsid w:val="0097235C"/>
    <w:rsid w:val="00977CEE"/>
    <w:rsid w:val="00982147"/>
    <w:rsid w:val="00983CB1"/>
    <w:rsid w:val="00984A65"/>
    <w:rsid w:val="009908DE"/>
    <w:rsid w:val="0099277D"/>
    <w:rsid w:val="009B5E5E"/>
    <w:rsid w:val="009C47FE"/>
    <w:rsid w:val="009F54CB"/>
    <w:rsid w:val="00A26E9E"/>
    <w:rsid w:val="00A34523"/>
    <w:rsid w:val="00A46E38"/>
    <w:rsid w:val="00A76A2E"/>
    <w:rsid w:val="00A84CDB"/>
    <w:rsid w:val="00A906DD"/>
    <w:rsid w:val="00AA5F0A"/>
    <w:rsid w:val="00AB1CD1"/>
    <w:rsid w:val="00AB580B"/>
    <w:rsid w:val="00AC5138"/>
    <w:rsid w:val="00AC5E12"/>
    <w:rsid w:val="00AE3929"/>
    <w:rsid w:val="00AF45B7"/>
    <w:rsid w:val="00AF482D"/>
    <w:rsid w:val="00B079EC"/>
    <w:rsid w:val="00B1318C"/>
    <w:rsid w:val="00B43C40"/>
    <w:rsid w:val="00B464F6"/>
    <w:rsid w:val="00B55BA1"/>
    <w:rsid w:val="00B77CF0"/>
    <w:rsid w:val="00B80284"/>
    <w:rsid w:val="00B84E87"/>
    <w:rsid w:val="00B90216"/>
    <w:rsid w:val="00B94DE2"/>
    <w:rsid w:val="00B96F68"/>
    <w:rsid w:val="00BA112E"/>
    <w:rsid w:val="00BA711C"/>
    <w:rsid w:val="00BB0F2F"/>
    <w:rsid w:val="00BB470C"/>
    <w:rsid w:val="00BC03D6"/>
    <w:rsid w:val="00BD71E9"/>
    <w:rsid w:val="00BE119A"/>
    <w:rsid w:val="00BE6A0B"/>
    <w:rsid w:val="00BE7B10"/>
    <w:rsid w:val="00C039CE"/>
    <w:rsid w:val="00C1795E"/>
    <w:rsid w:val="00C22C6C"/>
    <w:rsid w:val="00C4055F"/>
    <w:rsid w:val="00C414C9"/>
    <w:rsid w:val="00C42047"/>
    <w:rsid w:val="00C5093E"/>
    <w:rsid w:val="00C60480"/>
    <w:rsid w:val="00C64425"/>
    <w:rsid w:val="00C71968"/>
    <w:rsid w:val="00C809BA"/>
    <w:rsid w:val="00C844A9"/>
    <w:rsid w:val="00C9305E"/>
    <w:rsid w:val="00CA3FA8"/>
    <w:rsid w:val="00CB07CA"/>
    <w:rsid w:val="00CE3B72"/>
    <w:rsid w:val="00D03728"/>
    <w:rsid w:val="00D06E99"/>
    <w:rsid w:val="00D102F8"/>
    <w:rsid w:val="00D10AD8"/>
    <w:rsid w:val="00D2424F"/>
    <w:rsid w:val="00D26EDE"/>
    <w:rsid w:val="00D32808"/>
    <w:rsid w:val="00D43D57"/>
    <w:rsid w:val="00D44EF3"/>
    <w:rsid w:val="00D45FC0"/>
    <w:rsid w:val="00D54C08"/>
    <w:rsid w:val="00D55CA3"/>
    <w:rsid w:val="00D8636D"/>
    <w:rsid w:val="00D96D0A"/>
    <w:rsid w:val="00DA0129"/>
    <w:rsid w:val="00DB3508"/>
    <w:rsid w:val="00DB3E70"/>
    <w:rsid w:val="00DC2193"/>
    <w:rsid w:val="00DC3B8E"/>
    <w:rsid w:val="00DE08C6"/>
    <w:rsid w:val="00DE18D9"/>
    <w:rsid w:val="00E0013C"/>
    <w:rsid w:val="00E11252"/>
    <w:rsid w:val="00E11C48"/>
    <w:rsid w:val="00E13C47"/>
    <w:rsid w:val="00E5185D"/>
    <w:rsid w:val="00E75AC8"/>
    <w:rsid w:val="00E82177"/>
    <w:rsid w:val="00E96D07"/>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D45C3A"/>
  <w15:docId w15:val="{F8D7AC35-51E8-4FD2-843E-92C03B05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A46E38"/>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A46E3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A17B9E87A4CC4BFA9EE0A1192AEAA"/>
        <w:category>
          <w:name w:val="General"/>
          <w:gallery w:val="placeholder"/>
        </w:category>
        <w:types>
          <w:type w:val="bbPlcHdr"/>
        </w:types>
        <w:behaviors>
          <w:behavior w:val="content"/>
        </w:behaviors>
        <w:guid w:val="{FD358F54-E879-497F-B920-DA5980332663}"/>
      </w:docPartPr>
      <w:docPartBody>
        <w:p w:rsidR="00C612FD" w:rsidRDefault="00C612FD">
          <w:pPr>
            <w:pStyle w:val="DD0A17B9E87A4CC4BFA9EE0A1192AEAA"/>
          </w:pPr>
          <w:r w:rsidRPr="001E0779">
            <w:rPr>
              <w:rStyle w:val="Textodelmarcadordeposicin"/>
            </w:rPr>
            <w:t>Haga clic aquí para escribir texto.</w:t>
          </w:r>
        </w:p>
      </w:docPartBody>
    </w:docPart>
    <w:docPart>
      <w:docPartPr>
        <w:name w:val="B6FF948A085148D587AE1A3625CFE9C2"/>
        <w:category>
          <w:name w:val="General"/>
          <w:gallery w:val="placeholder"/>
        </w:category>
        <w:types>
          <w:type w:val="bbPlcHdr"/>
        </w:types>
        <w:behaviors>
          <w:behavior w:val="content"/>
        </w:behaviors>
        <w:guid w:val="{7FBCEB69-A867-4F2B-A3CD-ED01F069CA92}"/>
      </w:docPartPr>
      <w:docPartBody>
        <w:p w:rsidR="00C612FD" w:rsidRDefault="00C612FD">
          <w:pPr>
            <w:pStyle w:val="B6FF948A085148D587AE1A3625CFE9C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FD"/>
    <w:rsid w:val="00C612F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D0A17B9E87A4CC4BFA9EE0A1192AEAA">
    <w:name w:val="DD0A17B9E87A4CC4BFA9EE0A1192AEAA"/>
  </w:style>
  <w:style w:type="paragraph" w:customStyle="1" w:styleId="B6FF948A085148D587AE1A3625CFE9C2">
    <w:name w:val="B6FF948A085148D587AE1A3625CFE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6d3yKDanLTbgpwwZaelDGVeQ3IFat2/t/FeSW88TNQ8=</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+HUxvMDUHQTflc+ZRu88dInRed3zuO9hWhhz3vTki9g=</DigestValue>
    </Reference>
  </SignedInfo>
  <SignatureValue>PQk1YKDawYxEDKYxcBvJXEpQsb7tq3M0mZephK2pxAUMjijy1h1qFQ7s3oWDo0Hps2uxg7aqOJQq
/pDffuYabDJLhIPO3+dkTE21rrWfElr5t8kQ2aPs2QJreTZ03/MNIAMGIrNimOHLVAWOET38ELb0
XAdP0YldA2FBLDg2zOxmoGZPUnxDdA7jDdPGQ6LdtGWyX2yuEoHD6dyc4ZNaWSIjufmoL8OTOrNb
9tfPhV81EQrl6JW8UGgA1ONEQ9UU0qd6SUyI3/LAysBbNFBQlvClZ6F3pvpJH3FWkWyayKBbEYpy
2wbU16RJeZiZRzzbI3lvMHxim/Rpq7JUBO96Ag==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6iIeS63wuVYLtb0rnm/EQ+0uGS35EkkFxxVeVdNfey8=</DigestValue>
      </Reference>
      <Reference URI="/word/document.xml?ContentType=application/vnd.openxmlformats-officedocument.wordprocessingml.document.main+xml">
        <DigestMethod Algorithm="http://www.w3.org/2001/04/xmlenc#sha256"/>
        <DigestValue>uvXhVIGsqhma/23ycVRah0GDuWAUs5WSZPCJZqzKTgU=</DigestValue>
      </Reference>
      <Reference URI="/word/endnotes.xml?ContentType=application/vnd.openxmlformats-officedocument.wordprocessingml.endnotes+xml">
        <DigestMethod Algorithm="http://www.w3.org/2001/04/xmlenc#sha256"/>
        <DigestValue>1yC4r+eW7aIF1LAoAem2xqH/+5D1Z61NqmTjo3fiPBI=</DigestValue>
      </Reference>
      <Reference URI="/word/fontTable.xml?ContentType=application/vnd.openxmlformats-officedocument.wordprocessingml.fontTable+xml">
        <DigestMethod Algorithm="http://www.w3.org/2001/04/xmlenc#sha256"/>
        <DigestValue>/rUzyf9eb2a30177C2MO8rhSEnXVqiPnF7XdqFXiYkw=</DigestValue>
      </Reference>
      <Reference URI="/word/footer1.xml?ContentType=application/vnd.openxmlformats-officedocument.wordprocessingml.footer+xml">
        <DigestMethod Algorithm="http://www.w3.org/2001/04/xmlenc#sha256"/>
        <DigestValue>YlfuRYgSHR0K3CHUCOAQxL9bIRS3KtkqVBwGqHJNhk0=</DigestValue>
      </Reference>
      <Reference URI="/word/footer2.xml?ContentType=application/vnd.openxmlformats-officedocument.wordprocessingml.footer+xml">
        <DigestMethod Algorithm="http://www.w3.org/2001/04/xmlenc#sha256"/>
        <DigestValue>x3yO8uir1NVFyFec0UcGJ9k77GuDIST/0JrfaCkVd1g=</DigestValue>
      </Reference>
      <Reference URI="/word/footnotes.xml?ContentType=application/vnd.openxmlformats-officedocument.wordprocessingml.footnotes+xml">
        <DigestMethod Algorithm="http://www.w3.org/2001/04/xmlenc#sha256"/>
        <DigestValue>6+HGsZZF/QUeWOrhBLdv4YSRK4yk4sXcrEAu/vwSWs4=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G38wLxzm+EEZpT/bTkdqIClLuS8Mb2tA/Nj7MU1qUeE=</DigestValue>
      </Reference>
      <Reference URI="/word/glossary/fontTable.xml?ContentType=application/vnd.openxmlformats-officedocument.wordprocessingml.fontTable+xml">
        <DigestMethod Algorithm="http://www.w3.org/2001/04/xmlenc#sha256"/>
        <DigestValue>83mcm7Bb3bfbbEwUQPG7YLn5+PToAaf66r0/Ck0D7MQ=</DigestValue>
      </Reference>
      <Reference URI="/word/glossary/settings.xml?ContentType=application/vnd.openxmlformats-officedocument.wordprocessingml.settings+xml">
        <DigestMethod Algorithm="http://www.w3.org/2001/04/xmlenc#sha256"/>
        <DigestValue>QC2VqC/5icFASry/m/t9bKLOfX3SghPAYvwRE6xL2ns=</DigestValue>
      </Reference>
      <Reference URI="/word/glossary/styles.xml?ContentType=application/vnd.openxmlformats-officedocument.wordprocessingml.styles+xml">
        <DigestMethod Algorithm="http://www.w3.org/2001/04/xmlenc#sha256"/>
        <DigestValue>rildw4asqjjBau01yy6L0ZmPUo0fMNSaXx4oK2xIQ6E=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3X6ahv/fxVXdABqKd833MAAZBoBBrceQJGSMto8Uu+U=</DigestValue>
      </Reference>
      <Reference URI="/word/header2.xml?ContentType=application/vnd.openxmlformats-officedocument.wordprocessingml.header+xml">
        <DigestMethod Algorithm="http://www.w3.org/2001/04/xmlenc#sha256"/>
        <DigestValue>C1dNFr7SCcIIXOzT5P8tLAljP51UVOgwVij5Oi0ey+M=</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rN736nW+31EVCUpPSaO2aCrFt0M6hT/1yTddg4deQuA=</DigestValue>
      </Reference>
      <Reference URI="/word/settings.xml?ContentType=application/vnd.openxmlformats-officedocument.wordprocessingml.settings+xml">
        <DigestMethod Algorithm="http://www.w3.org/2001/04/xmlenc#sha256"/>
        <DigestValue>jNItKR8zrK5jqtNMSJlJDANrR2mG0eYxt0Sea9MUM4Y=</DigestValue>
      </Reference>
      <Reference URI="/word/styles.xml?ContentType=application/vnd.openxmlformats-officedocument.wordprocessingml.styles+xml">
        <DigestMethod Algorithm="http://www.w3.org/2001/04/xmlenc#sha256"/>
        <DigestValue>oUy4SSn4k+o5BoawnymfDBA8lXX68EOQKILFLj/kgLE=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2019-10-18T22:32:59Z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2019-10-18T22:32:59Z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IQgiGcW751zoyMqmRAkfs2G9fKRXBG75FA8Rl70DqECBAjN2mwYDzIwMTkxMDE4MjIzMz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DGISp0krdLDgmXzGmtNr09iBcEs=</xd:ByKey>
                  </xd:ResponderID>
                  <xd:ProducedAt>2019-10-17T17:04:49Z</xd:ProducedAt>
                </xd:OCSPIdentifier>
                <xd:DigestAlgAndValue>
                  <DigestMethod Algorithm="http://www.w3.org/2001/04/xmlenc#sha256"/>
                  <DigestValue>TUKVheWILd959cUJjNfZIkGL3bxCSaeDSjFLlTWe7YE=</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0FkMLdjgbRMJilfmrdpiYIo2wvAI6xX7Su6dZdLKYvACBAjN2m0YDzIwMTkxMDE4MjIzMz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875e23b-67d9-4b2e-bdec-edacbf90b326">
      <Value>127</Value>
      <Value>3</Value>
      <Value>2</Value>
      <Value>126</Value>
      <Value>63</Value>
    </TaxCatchAll>
    <OtraEntidadExterna xmlns="b875e23b-67d9-4b2e-bdec-edacbf90b326">Todas</OtraEntidadExterna>
    <Firmado xmlns="b875e23b-67d9-4b2e-bdec-edacbf90b326">true</Firmado>
    <Responsable xmlns="b875e23b-67d9-4b2e-bdec-edacbf90b326">
      <UserInfo>
        <DisplayName>SANCHEZ HERNANDEZ KATTIA</DisplayName>
        <AccountId>831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i:0#.w|pdc-atlantida\lopezsm</DisplayName>
        <AccountId>1743</AccountId>
        <AccountType/>
      </UserInfo>
      <UserInfo>
        <DisplayName>i:0#.w|pdc-atlantida\cuberocm</DisplayName>
        <AccountId>1767</AccountId>
        <AccountType/>
      </UserInfo>
      <UserInfo>
        <DisplayName>i:0#.w|pdc-atlantida\sanchezhk</DisplayName>
        <AccountId>831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class="ExternalClassD854067F8EED440AAE54E9A25F43C39C"&gt;Circular a los sujetos obligados seguimiento sobre APNFDs&lt;/div&gt;</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2019-10-17T06:00:00+00:00</FechaDocumento>
    <RemitenteOriginal xmlns="b875e23b-67d9-4b2e-bdec-edacbf90b326">Cumplimiento Entidades Financieras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EF sobre APNFD</Subject1>
    <Entrante_x0020_relacionado xmlns="b875e23b-67d9-4b2e-bdec-edacbf90b326">
      <Url xsi:nil="true"/>
      <Description xsi:nil="true"/>
    </Entrante_x0020_relacionado>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9CE0913-C28A-482F-BB12-5706CBE8A9B9}">
  <ds:schemaRefs>
    <ds:schemaRef ds:uri="Microsoft.SharePoint.Taxonomy.ContentTypeSync"/>
  </ds:schemaRefs>
</ds:datastoreItem>
</file>

<file path=customXml/itemProps2.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3.xml><?xml version="1.0" encoding="utf-8"?>
<ds:datastoreItem xmlns:ds="http://schemas.openxmlformats.org/officeDocument/2006/customXml" ds:itemID="{283BF82E-1A70-4392-8CF2-7DEAFF1953AE}">
  <ds:schemaRefs>
    <ds:schemaRef ds:uri="http://schemas.microsoft.com/office/2006/documentManagement/types"/>
    <ds:schemaRef ds:uri="http://purl.org/dc/elements/1.1/"/>
    <ds:schemaRef ds:uri="http://schemas.microsoft.com/office/2006/metadata/properties"/>
    <ds:schemaRef ds:uri="b875e23b-67d9-4b2e-bdec-edacbf90b326"/>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FE2B84-BABE-4FBC-AFD2-6D324FE22467}"/>
</file>

<file path=customXml/itemProps5.xml><?xml version="1.0" encoding="utf-8"?>
<ds:datastoreItem xmlns:ds="http://schemas.openxmlformats.org/officeDocument/2006/customXml" ds:itemID="{BC1B3EB8-6FA5-45A3-92A0-B17111329673}"/>
</file>

<file path=customXml/itemProps6.xml><?xml version="1.0" encoding="utf-8"?>
<ds:datastoreItem xmlns:ds="http://schemas.openxmlformats.org/officeDocument/2006/customXml" ds:itemID="{01557024-BE0E-45F0-BFF0-3B1B776E8948}">
  <ds:schemaRefs>
    <ds:schemaRef ds:uri="http://schemas.openxmlformats.org/officeDocument/2006/bibliography"/>
  </ds:schemaRefs>
</ds:datastoreItem>
</file>

<file path=customXml/itemProps7.xml><?xml version="1.0" encoding="utf-8"?>
<ds:datastoreItem xmlns:ds="http://schemas.openxmlformats.org/officeDocument/2006/customXml" ds:itemID="{CEA6F17D-AAA9-4C90-8BA6-E90FD6763F29}"/>
</file>

<file path=docProps/app.xml><?xml version="1.0" encoding="utf-8"?>
<Properties xmlns="http://schemas.openxmlformats.org/officeDocument/2006/extended-properties" xmlns:vt="http://schemas.openxmlformats.org/officeDocument/2006/docPropsVTypes">
  <Template>plantilla-SGF-ACL-CEF-13-E</Template>
  <TotalTime>91</TotalTime>
  <Pages>4</Pages>
  <Words>1115</Words>
  <Characters>6137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HERNANDEZ KATTIA</dc:creator>
  <cp:lastModifiedBy>Rafael Coto Alfaro</cp:lastModifiedBy>
  <cp:revision>14</cp:revision>
  <cp:lastPrinted>2015-07-30T22:36:00Z</cp:lastPrinted>
  <dcterms:created xsi:type="dcterms:W3CDTF">2019-10-17T20:20:00Z</dcterms:created>
  <dcterms:modified xsi:type="dcterms:W3CDTF">2019-10-18T18:22:00Z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14200</vt:r8>
  </property>
  <property fmtid="{D5CDD505-2E9C-101B-9397-08002B2CF9AE}" pid="15" name="Confidencialidad">
    <vt:lpwstr>Propietario|172cdb65-abed-4947-8339-a6c2477d21bb</vt:lpwstr>
  </property>
  <property fmtid="{D5CDD505-2E9C-101B-9397-08002B2CF9AE}" pid="16" name="WorkflowChangePath">
    <vt:lpwstr>546dfbb4-8cc0-45d4-a64c-4db3fdd3f8fe,4;ab7952a0-1ae5-4b26-8d7a-be63a467751b,7;</vt:lpwstr>
  </property>
</Properties>
</file>